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D1" w:rsidRDefault="00C374D1" w:rsidP="00C374D1">
      <w:pPr>
        <w:jc w:val="center"/>
        <w:rPr>
          <w:color w:val="2F5496" w:themeColor="accent5" w:themeShade="BF"/>
          <w:sz w:val="48"/>
        </w:rPr>
      </w:pPr>
    </w:p>
    <w:p w:rsidR="00C374D1" w:rsidRDefault="00C374D1" w:rsidP="00C374D1">
      <w:pPr>
        <w:jc w:val="center"/>
        <w:rPr>
          <w:color w:val="2F5496" w:themeColor="accent5" w:themeShade="BF"/>
          <w:sz w:val="48"/>
        </w:rPr>
      </w:pPr>
    </w:p>
    <w:p w:rsidR="00C374D1" w:rsidRDefault="00C374D1" w:rsidP="00C374D1">
      <w:pPr>
        <w:jc w:val="center"/>
        <w:rPr>
          <w:color w:val="2F5496" w:themeColor="accent5" w:themeShade="BF"/>
          <w:sz w:val="48"/>
        </w:rPr>
      </w:pPr>
    </w:p>
    <w:p w:rsidR="00C374D1" w:rsidRDefault="00C374D1" w:rsidP="00C374D1">
      <w:pPr>
        <w:jc w:val="center"/>
        <w:rPr>
          <w:color w:val="2F5496" w:themeColor="accent5" w:themeShade="BF"/>
          <w:sz w:val="48"/>
        </w:rPr>
      </w:pPr>
    </w:p>
    <w:p w:rsidR="00C374D1" w:rsidRPr="00C13B43" w:rsidRDefault="00C374D1" w:rsidP="00C374D1">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C374D1" w:rsidRPr="00C13B43" w:rsidRDefault="00C374D1" w:rsidP="00C374D1">
      <w:pPr>
        <w:jc w:val="center"/>
        <w:rPr>
          <w:color w:val="2F5496" w:themeColor="accent5" w:themeShade="BF"/>
          <w:sz w:val="48"/>
        </w:rPr>
      </w:pPr>
      <w:r>
        <w:rPr>
          <w:color w:val="2F5496" w:themeColor="accent5" w:themeShade="BF"/>
          <w:sz w:val="48"/>
        </w:rPr>
        <w:t xml:space="preserve">Congregational </w:t>
      </w:r>
      <w:r w:rsidRPr="0034793F">
        <w:rPr>
          <w:color w:val="2F5496" w:themeColor="accent5" w:themeShade="BF"/>
          <w:sz w:val="48"/>
        </w:rPr>
        <w:t>Property</w:t>
      </w:r>
      <w:r>
        <w:rPr>
          <w:color w:val="2F5496" w:themeColor="accent5" w:themeShade="BF"/>
          <w:sz w:val="48"/>
        </w:rPr>
        <w:t xml:space="preserve"> Transactions</w:t>
      </w:r>
    </w:p>
    <w:p w:rsidR="00C374D1" w:rsidRPr="00C13B43" w:rsidRDefault="00C374D1" w:rsidP="00C374D1">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313B3804" wp14:editId="47E0B7B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97B15"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C374D1" w:rsidRDefault="00C374D1" w:rsidP="00C374D1">
      <w:pPr>
        <w:jc w:val="center"/>
        <w:rPr>
          <w:color w:val="1042B0"/>
          <w:sz w:val="32"/>
          <w:u w:val="single"/>
        </w:rPr>
      </w:pPr>
    </w:p>
    <w:p w:rsidR="00C374D1" w:rsidRPr="00E507A9" w:rsidRDefault="00C374D1" w:rsidP="00C374D1">
      <w:pPr>
        <w:jc w:val="center"/>
        <w:rPr>
          <w:color w:val="FF0000"/>
          <w:sz w:val="32"/>
          <w:u w:val="single"/>
        </w:rPr>
      </w:pPr>
      <w:r w:rsidRPr="00E507A9">
        <w:rPr>
          <w:color w:val="FF0000"/>
          <w:sz w:val="32"/>
          <w:u w:val="single"/>
        </w:rPr>
        <w:t>Regional Council</w:t>
      </w:r>
    </w:p>
    <w:p w:rsidR="00C374D1" w:rsidRDefault="00C374D1" w:rsidP="00C374D1">
      <w:pPr>
        <w:jc w:val="center"/>
      </w:pPr>
    </w:p>
    <w:p w:rsidR="00C374D1" w:rsidRDefault="00C374D1" w:rsidP="00C374D1">
      <w:pPr>
        <w:jc w:val="center"/>
        <w:rPr>
          <w:color w:val="1042B0"/>
          <w:sz w:val="32"/>
        </w:rPr>
      </w:pPr>
      <w:r>
        <w:rPr>
          <w:color w:val="1042B0"/>
          <w:sz w:val="32"/>
        </w:rPr>
        <w:t>Antler River Watershed</w:t>
      </w:r>
    </w:p>
    <w:p w:rsidR="00C374D1" w:rsidRDefault="00C374D1" w:rsidP="00C374D1">
      <w:r>
        <w:br w:type="page"/>
      </w:r>
    </w:p>
    <w:p w:rsidR="00C374D1" w:rsidRDefault="00C374D1" w:rsidP="00546711">
      <w:pPr>
        <w:pStyle w:val="Heading1"/>
      </w:pPr>
    </w:p>
    <w:sdt>
      <w:sdtPr>
        <w:rPr>
          <w:rFonts w:asciiTheme="minorHAnsi" w:eastAsiaTheme="minorHAnsi" w:hAnsiTheme="minorHAnsi" w:cstheme="minorBidi"/>
          <w:color w:val="auto"/>
          <w:sz w:val="22"/>
          <w:szCs w:val="22"/>
          <w:lang w:val="en-CA"/>
        </w:rPr>
        <w:id w:val="812913132"/>
        <w:docPartObj>
          <w:docPartGallery w:val="Table of Contents"/>
          <w:docPartUnique/>
        </w:docPartObj>
      </w:sdtPr>
      <w:sdtEndPr>
        <w:rPr>
          <w:b/>
          <w:bCs/>
          <w:noProof/>
        </w:rPr>
      </w:sdtEndPr>
      <w:sdtContent>
        <w:p w:rsidR="00C374D1" w:rsidRDefault="00C374D1" w:rsidP="00546711">
          <w:pPr>
            <w:pStyle w:val="TOCHeading"/>
          </w:pPr>
          <w:r>
            <w:t>Contents</w:t>
          </w:r>
        </w:p>
        <w:p w:rsidR="008F2F1A" w:rsidRDefault="00C374D1">
          <w:pPr>
            <w:pStyle w:val="TOC1"/>
            <w:tabs>
              <w:tab w:val="right" w:leader="dot" w:pos="9463"/>
            </w:tabs>
            <w:rPr>
              <w:rFonts w:eastAsiaTheme="minorEastAsia"/>
              <w:noProof/>
              <w:lang w:eastAsia="en-CA"/>
            </w:rPr>
          </w:pPr>
          <w:r>
            <w:fldChar w:fldCharType="begin"/>
          </w:r>
          <w:r>
            <w:instrText xml:space="preserve"> TOC \o "1-3" \h \z \u </w:instrText>
          </w:r>
          <w:r>
            <w:fldChar w:fldCharType="separate"/>
          </w:r>
          <w:hyperlink w:anchor="_Toc17190575" w:history="1">
            <w:r w:rsidR="008F2F1A" w:rsidRPr="00114E8E">
              <w:rPr>
                <w:rStyle w:val="Hyperlink"/>
                <w:noProof/>
              </w:rPr>
              <w:t>Understanding What it Means to Hold Property in Trust</w:t>
            </w:r>
            <w:r w:rsidR="008F2F1A">
              <w:rPr>
                <w:noProof/>
                <w:webHidden/>
              </w:rPr>
              <w:tab/>
            </w:r>
            <w:r w:rsidR="008F2F1A">
              <w:rPr>
                <w:noProof/>
                <w:webHidden/>
              </w:rPr>
              <w:fldChar w:fldCharType="begin"/>
            </w:r>
            <w:r w:rsidR="008F2F1A">
              <w:rPr>
                <w:noProof/>
                <w:webHidden/>
              </w:rPr>
              <w:instrText xml:space="preserve"> PAGEREF _Toc17190575 \h </w:instrText>
            </w:r>
            <w:r w:rsidR="008F2F1A">
              <w:rPr>
                <w:noProof/>
                <w:webHidden/>
              </w:rPr>
            </w:r>
            <w:r w:rsidR="008F2F1A">
              <w:rPr>
                <w:noProof/>
                <w:webHidden/>
              </w:rPr>
              <w:fldChar w:fldCharType="separate"/>
            </w:r>
            <w:r w:rsidR="008F2F1A">
              <w:rPr>
                <w:noProof/>
                <w:webHidden/>
              </w:rPr>
              <w:t>3</w:t>
            </w:r>
            <w:r w:rsidR="008F2F1A">
              <w:rPr>
                <w:noProof/>
                <w:webHidden/>
              </w:rPr>
              <w:fldChar w:fldCharType="end"/>
            </w:r>
          </w:hyperlink>
        </w:p>
        <w:p w:rsidR="008F2F1A" w:rsidRDefault="008F2F1A">
          <w:pPr>
            <w:pStyle w:val="TOC2"/>
            <w:tabs>
              <w:tab w:val="right" w:leader="dot" w:pos="9463"/>
            </w:tabs>
            <w:rPr>
              <w:rFonts w:eastAsiaTheme="minorEastAsia"/>
              <w:noProof/>
              <w:lang w:eastAsia="en-CA"/>
            </w:rPr>
          </w:pPr>
          <w:hyperlink w:anchor="_Toc17190576" w:history="1">
            <w:r w:rsidRPr="00114E8E">
              <w:rPr>
                <w:rStyle w:val="Hyperlink"/>
                <w:noProof/>
              </w:rPr>
              <w:t>Definitions:</w:t>
            </w:r>
            <w:r>
              <w:rPr>
                <w:noProof/>
                <w:webHidden/>
              </w:rPr>
              <w:tab/>
            </w:r>
            <w:r>
              <w:rPr>
                <w:noProof/>
                <w:webHidden/>
              </w:rPr>
              <w:fldChar w:fldCharType="begin"/>
            </w:r>
            <w:r>
              <w:rPr>
                <w:noProof/>
                <w:webHidden/>
              </w:rPr>
              <w:instrText xml:space="preserve"> PAGEREF _Toc17190576 \h </w:instrText>
            </w:r>
            <w:r>
              <w:rPr>
                <w:noProof/>
                <w:webHidden/>
              </w:rPr>
            </w:r>
            <w:r>
              <w:rPr>
                <w:noProof/>
                <w:webHidden/>
              </w:rPr>
              <w:fldChar w:fldCharType="separate"/>
            </w:r>
            <w:r>
              <w:rPr>
                <w:noProof/>
                <w:webHidden/>
              </w:rPr>
              <w:t>3</w:t>
            </w:r>
            <w:r>
              <w:rPr>
                <w:noProof/>
                <w:webHidden/>
              </w:rPr>
              <w:fldChar w:fldCharType="end"/>
            </w:r>
          </w:hyperlink>
        </w:p>
        <w:p w:rsidR="008F2F1A" w:rsidRDefault="008F2F1A">
          <w:pPr>
            <w:pStyle w:val="TOC1"/>
            <w:tabs>
              <w:tab w:val="right" w:leader="dot" w:pos="9463"/>
            </w:tabs>
            <w:rPr>
              <w:rFonts w:eastAsiaTheme="minorEastAsia"/>
              <w:noProof/>
              <w:lang w:eastAsia="en-CA"/>
            </w:rPr>
          </w:pPr>
          <w:hyperlink w:anchor="_Toc17190577" w:history="1">
            <w:r w:rsidRPr="00114E8E">
              <w:rPr>
                <w:rStyle w:val="Hyperlink"/>
                <w:noProof/>
              </w:rPr>
              <w:t>Antler River Watershed Regional Council Property Policy</w:t>
            </w:r>
            <w:r>
              <w:rPr>
                <w:noProof/>
                <w:webHidden/>
              </w:rPr>
              <w:tab/>
            </w:r>
            <w:r>
              <w:rPr>
                <w:noProof/>
                <w:webHidden/>
              </w:rPr>
              <w:fldChar w:fldCharType="begin"/>
            </w:r>
            <w:r>
              <w:rPr>
                <w:noProof/>
                <w:webHidden/>
              </w:rPr>
              <w:instrText xml:space="preserve"> PAGEREF _Toc17190577 \h </w:instrText>
            </w:r>
            <w:r>
              <w:rPr>
                <w:noProof/>
                <w:webHidden/>
              </w:rPr>
            </w:r>
            <w:r>
              <w:rPr>
                <w:noProof/>
                <w:webHidden/>
              </w:rPr>
              <w:fldChar w:fldCharType="separate"/>
            </w:r>
            <w:r>
              <w:rPr>
                <w:noProof/>
                <w:webHidden/>
              </w:rPr>
              <w:t>4</w:t>
            </w:r>
            <w:r>
              <w:rPr>
                <w:noProof/>
                <w:webHidden/>
              </w:rPr>
              <w:fldChar w:fldCharType="end"/>
            </w:r>
          </w:hyperlink>
        </w:p>
        <w:p w:rsidR="008F2F1A" w:rsidRDefault="008F2F1A">
          <w:pPr>
            <w:pStyle w:val="TOC2"/>
            <w:tabs>
              <w:tab w:val="right" w:leader="dot" w:pos="9463"/>
            </w:tabs>
            <w:rPr>
              <w:rFonts w:eastAsiaTheme="minorEastAsia"/>
              <w:noProof/>
              <w:lang w:eastAsia="en-CA"/>
            </w:rPr>
          </w:pPr>
          <w:hyperlink w:anchor="_Toc17190578" w:history="1">
            <w:r w:rsidRPr="00114E8E">
              <w:rPr>
                <w:rStyle w:val="Hyperlink"/>
                <w:noProof/>
              </w:rPr>
              <w:t>Major Assets (Personal Property)</w:t>
            </w:r>
            <w:r>
              <w:rPr>
                <w:noProof/>
                <w:webHidden/>
              </w:rPr>
              <w:tab/>
            </w:r>
            <w:r>
              <w:rPr>
                <w:noProof/>
                <w:webHidden/>
              </w:rPr>
              <w:fldChar w:fldCharType="begin"/>
            </w:r>
            <w:r>
              <w:rPr>
                <w:noProof/>
                <w:webHidden/>
              </w:rPr>
              <w:instrText xml:space="preserve"> PAGEREF _Toc17190578 \h </w:instrText>
            </w:r>
            <w:r>
              <w:rPr>
                <w:noProof/>
                <w:webHidden/>
              </w:rPr>
            </w:r>
            <w:r>
              <w:rPr>
                <w:noProof/>
                <w:webHidden/>
              </w:rPr>
              <w:fldChar w:fldCharType="separate"/>
            </w:r>
            <w:r>
              <w:rPr>
                <w:noProof/>
                <w:webHidden/>
              </w:rPr>
              <w:t>4</w:t>
            </w:r>
            <w:r>
              <w:rPr>
                <w:noProof/>
                <w:webHidden/>
              </w:rPr>
              <w:fldChar w:fldCharType="end"/>
            </w:r>
          </w:hyperlink>
        </w:p>
        <w:p w:rsidR="008F2F1A" w:rsidRDefault="008F2F1A">
          <w:pPr>
            <w:pStyle w:val="TOC2"/>
            <w:tabs>
              <w:tab w:val="right" w:leader="dot" w:pos="9463"/>
            </w:tabs>
            <w:rPr>
              <w:rFonts w:eastAsiaTheme="minorEastAsia"/>
              <w:noProof/>
              <w:lang w:eastAsia="en-CA"/>
            </w:rPr>
          </w:pPr>
          <w:hyperlink w:anchor="_Toc17190579" w:history="1">
            <w:r w:rsidRPr="00114E8E">
              <w:rPr>
                <w:rStyle w:val="Hyperlink"/>
                <w:noProof/>
              </w:rPr>
              <w:t>Major Renovations</w:t>
            </w:r>
            <w:r>
              <w:rPr>
                <w:noProof/>
                <w:webHidden/>
              </w:rPr>
              <w:tab/>
            </w:r>
            <w:r>
              <w:rPr>
                <w:noProof/>
                <w:webHidden/>
              </w:rPr>
              <w:fldChar w:fldCharType="begin"/>
            </w:r>
            <w:r>
              <w:rPr>
                <w:noProof/>
                <w:webHidden/>
              </w:rPr>
              <w:instrText xml:space="preserve"> PAGEREF _Toc17190579 \h </w:instrText>
            </w:r>
            <w:r>
              <w:rPr>
                <w:noProof/>
                <w:webHidden/>
              </w:rPr>
            </w:r>
            <w:r>
              <w:rPr>
                <w:noProof/>
                <w:webHidden/>
              </w:rPr>
              <w:fldChar w:fldCharType="separate"/>
            </w:r>
            <w:r>
              <w:rPr>
                <w:noProof/>
                <w:webHidden/>
              </w:rPr>
              <w:t>5</w:t>
            </w:r>
            <w:r>
              <w:rPr>
                <w:noProof/>
                <w:webHidden/>
              </w:rPr>
              <w:fldChar w:fldCharType="end"/>
            </w:r>
          </w:hyperlink>
        </w:p>
        <w:p w:rsidR="008F2F1A" w:rsidRDefault="008F2F1A">
          <w:pPr>
            <w:pStyle w:val="TOC2"/>
            <w:tabs>
              <w:tab w:val="right" w:leader="dot" w:pos="9463"/>
            </w:tabs>
            <w:rPr>
              <w:rFonts w:eastAsiaTheme="minorEastAsia"/>
              <w:noProof/>
              <w:lang w:eastAsia="en-CA"/>
            </w:rPr>
          </w:pPr>
          <w:hyperlink w:anchor="_Toc17190580" w:history="1">
            <w:r w:rsidRPr="00114E8E">
              <w:rPr>
                <w:rStyle w:val="Hyperlink"/>
                <w:noProof/>
              </w:rPr>
              <w:t>Sale of Real Property</w:t>
            </w:r>
            <w:r>
              <w:rPr>
                <w:noProof/>
                <w:webHidden/>
              </w:rPr>
              <w:tab/>
            </w:r>
            <w:r>
              <w:rPr>
                <w:noProof/>
                <w:webHidden/>
              </w:rPr>
              <w:fldChar w:fldCharType="begin"/>
            </w:r>
            <w:r>
              <w:rPr>
                <w:noProof/>
                <w:webHidden/>
              </w:rPr>
              <w:instrText xml:space="preserve"> PAGEREF _Toc17190580 \h </w:instrText>
            </w:r>
            <w:r>
              <w:rPr>
                <w:noProof/>
                <w:webHidden/>
              </w:rPr>
            </w:r>
            <w:r>
              <w:rPr>
                <w:noProof/>
                <w:webHidden/>
              </w:rPr>
              <w:fldChar w:fldCharType="separate"/>
            </w:r>
            <w:r>
              <w:rPr>
                <w:noProof/>
                <w:webHidden/>
              </w:rPr>
              <w:t>5</w:t>
            </w:r>
            <w:r>
              <w:rPr>
                <w:noProof/>
                <w:webHidden/>
              </w:rPr>
              <w:fldChar w:fldCharType="end"/>
            </w:r>
          </w:hyperlink>
        </w:p>
        <w:p w:rsidR="008F2F1A" w:rsidRDefault="008F2F1A">
          <w:pPr>
            <w:pStyle w:val="TOC2"/>
            <w:tabs>
              <w:tab w:val="right" w:leader="dot" w:pos="9463"/>
            </w:tabs>
            <w:rPr>
              <w:rFonts w:eastAsiaTheme="minorEastAsia"/>
              <w:noProof/>
              <w:lang w:eastAsia="en-CA"/>
            </w:rPr>
          </w:pPr>
          <w:hyperlink w:anchor="_Toc17190581" w:history="1">
            <w:r w:rsidRPr="00114E8E">
              <w:rPr>
                <w:rStyle w:val="Hyperlink"/>
                <w:noProof/>
              </w:rPr>
              <w:t>Amalgamation</w:t>
            </w:r>
            <w:r>
              <w:rPr>
                <w:noProof/>
                <w:webHidden/>
              </w:rPr>
              <w:tab/>
            </w:r>
            <w:r>
              <w:rPr>
                <w:noProof/>
                <w:webHidden/>
              </w:rPr>
              <w:fldChar w:fldCharType="begin"/>
            </w:r>
            <w:r>
              <w:rPr>
                <w:noProof/>
                <w:webHidden/>
              </w:rPr>
              <w:instrText xml:space="preserve"> PAGEREF _Toc17190581 \h </w:instrText>
            </w:r>
            <w:r>
              <w:rPr>
                <w:noProof/>
                <w:webHidden/>
              </w:rPr>
            </w:r>
            <w:r>
              <w:rPr>
                <w:noProof/>
                <w:webHidden/>
              </w:rPr>
              <w:fldChar w:fldCharType="separate"/>
            </w:r>
            <w:r>
              <w:rPr>
                <w:noProof/>
                <w:webHidden/>
              </w:rPr>
              <w:t>5</w:t>
            </w:r>
            <w:r>
              <w:rPr>
                <w:noProof/>
                <w:webHidden/>
              </w:rPr>
              <w:fldChar w:fldCharType="end"/>
            </w:r>
          </w:hyperlink>
        </w:p>
        <w:p w:rsidR="008F2F1A" w:rsidRDefault="008F2F1A">
          <w:pPr>
            <w:pStyle w:val="TOC2"/>
            <w:tabs>
              <w:tab w:val="right" w:leader="dot" w:pos="9463"/>
            </w:tabs>
            <w:rPr>
              <w:rFonts w:eastAsiaTheme="minorEastAsia"/>
              <w:noProof/>
              <w:lang w:eastAsia="en-CA"/>
            </w:rPr>
          </w:pPr>
          <w:hyperlink w:anchor="_Toc17190582" w:history="1">
            <w:r w:rsidRPr="00114E8E">
              <w:rPr>
                <w:rStyle w:val="Hyperlink"/>
                <w:noProof/>
              </w:rPr>
              <w:t>Disbanding</w:t>
            </w:r>
            <w:r>
              <w:rPr>
                <w:noProof/>
                <w:webHidden/>
              </w:rPr>
              <w:tab/>
            </w:r>
            <w:r>
              <w:rPr>
                <w:noProof/>
                <w:webHidden/>
              </w:rPr>
              <w:fldChar w:fldCharType="begin"/>
            </w:r>
            <w:r>
              <w:rPr>
                <w:noProof/>
                <w:webHidden/>
              </w:rPr>
              <w:instrText xml:space="preserve"> PAGEREF _Toc17190582 \h </w:instrText>
            </w:r>
            <w:r>
              <w:rPr>
                <w:noProof/>
                <w:webHidden/>
              </w:rPr>
            </w:r>
            <w:r>
              <w:rPr>
                <w:noProof/>
                <w:webHidden/>
              </w:rPr>
              <w:fldChar w:fldCharType="separate"/>
            </w:r>
            <w:r>
              <w:rPr>
                <w:noProof/>
                <w:webHidden/>
              </w:rPr>
              <w:t>6</w:t>
            </w:r>
            <w:r>
              <w:rPr>
                <w:noProof/>
                <w:webHidden/>
              </w:rPr>
              <w:fldChar w:fldCharType="end"/>
            </w:r>
          </w:hyperlink>
        </w:p>
        <w:p w:rsidR="008F2F1A" w:rsidRDefault="008F2F1A">
          <w:pPr>
            <w:pStyle w:val="TOC1"/>
            <w:tabs>
              <w:tab w:val="right" w:leader="dot" w:pos="9463"/>
            </w:tabs>
            <w:rPr>
              <w:rFonts w:eastAsiaTheme="minorEastAsia"/>
              <w:noProof/>
              <w:lang w:eastAsia="en-CA"/>
            </w:rPr>
          </w:pPr>
          <w:hyperlink w:anchor="_Toc17190583" w:history="1">
            <w:r w:rsidRPr="00114E8E">
              <w:rPr>
                <w:rStyle w:val="Hyperlink"/>
                <w:noProof/>
              </w:rPr>
              <w:t>Sale of Congregational Property – Basic Steps</w:t>
            </w:r>
            <w:r>
              <w:rPr>
                <w:noProof/>
                <w:webHidden/>
              </w:rPr>
              <w:tab/>
            </w:r>
            <w:r>
              <w:rPr>
                <w:noProof/>
                <w:webHidden/>
              </w:rPr>
              <w:fldChar w:fldCharType="begin"/>
            </w:r>
            <w:r>
              <w:rPr>
                <w:noProof/>
                <w:webHidden/>
              </w:rPr>
              <w:instrText xml:space="preserve"> PAGEREF _Toc17190583 \h </w:instrText>
            </w:r>
            <w:r>
              <w:rPr>
                <w:noProof/>
                <w:webHidden/>
              </w:rPr>
            </w:r>
            <w:r>
              <w:rPr>
                <w:noProof/>
                <w:webHidden/>
              </w:rPr>
              <w:fldChar w:fldCharType="separate"/>
            </w:r>
            <w:r>
              <w:rPr>
                <w:noProof/>
                <w:webHidden/>
              </w:rPr>
              <w:t>6</w:t>
            </w:r>
            <w:r>
              <w:rPr>
                <w:noProof/>
                <w:webHidden/>
              </w:rPr>
              <w:fldChar w:fldCharType="end"/>
            </w:r>
          </w:hyperlink>
        </w:p>
        <w:p w:rsidR="008F2F1A" w:rsidRDefault="008F2F1A">
          <w:pPr>
            <w:pStyle w:val="TOC2"/>
            <w:tabs>
              <w:tab w:val="right" w:leader="dot" w:pos="9463"/>
            </w:tabs>
            <w:rPr>
              <w:rFonts w:eastAsiaTheme="minorEastAsia"/>
              <w:noProof/>
              <w:lang w:eastAsia="en-CA"/>
            </w:rPr>
          </w:pPr>
          <w:hyperlink w:anchor="_Toc17190584" w:history="1">
            <w:r w:rsidRPr="00114E8E">
              <w:rPr>
                <w:rStyle w:val="Hyperlink"/>
                <w:noProof/>
              </w:rPr>
              <w:t>Guidelines for Setting a Price:</w:t>
            </w:r>
            <w:bookmarkStart w:id="0" w:name="_GoBack"/>
            <w:bookmarkEnd w:id="0"/>
            <w:r>
              <w:rPr>
                <w:noProof/>
                <w:webHidden/>
              </w:rPr>
              <w:tab/>
            </w:r>
            <w:r>
              <w:rPr>
                <w:noProof/>
                <w:webHidden/>
              </w:rPr>
              <w:fldChar w:fldCharType="begin"/>
            </w:r>
            <w:r>
              <w:rPr>
                <w:noProof/>
                <w:webHidden/>
              </w:rPr>
              <w:instrText xml:space="preserve"> PAGEREF _Toc17190584 \h </w:instrText>
            </w:r>
            <w:r>
              <w:rPr>
                <w:noProof/>
                <w:webHidden/>
              </w:rPr>
            </w:r>
            <w:r>
              <w:rPr>
                <w:noProof/>
                <w:webHidden/>
              </w:rPr>
              <w:fldChar w:fldCharType="separate"/>
            </w:r>
            <w:r>
              <w:rPr>
                <w:noProof/>
                <w:webHidden/>
              </w:rPr>
              <w:t>8</w:t>
            </w:r>
            <w:r>
              <w:rPr>
                <w:noProof/>
                <w:webHidden/>
              </w:rPr>
              <w:fldChar w:fldCharType="end"/>
            </w:r>
          </w:hyperlink>
        </w:p>
        <w:p w:rsidR="008F2F1A" w:rsidRDefault="008F2F1A">
          <w:pPr>
            <w:pStyle w:val="TOC1"/>
            <w:tabs>
              <w:tab w:val="right" w:leader="dot" w:pos="9463"/>
            </w:tabs>
            <w:rPr>
              <w:rFonts w:eastAsiaTheme="minorEastAsia"/>
              <w:noProof/>
              <w:lang w:eastAsia="en-CA"/>
            </w:rPr>
          </w:pPr>
          <w:hyperlink w:anchor="_Toc17190585" w:history="1">
            <w:r w:rsidRPr="00114E8E">
              <w:rPr>
                <w:rStyle w:val="Hyperlink"/>
                <w:noProof/>
              </w:rPr>
              <w:t>Other Property Transactions:</w:t>
            </w:r>
            <w:r>
              <w:rPr>
                <w:noProof/>
                <w:webHidden/>
              </w:rPr>
              <w:tab/>
            </w:r>
            <w:r>
              <w:rPr>
                <w:noProof/>
                <w:webHidden/>
              </w:rPr>
              <w:fldChar w:fldCharType="begin"/>
            </w:r>
            <w:r>
              <w:rPr>
                <w:noProof/>
                <w:webHidden/>
              </w:rPr>
              <w:instrText xml:space="preserve"> PAGEREF _Toc17190585 \h </w:instrText>
            </w:r>
            <w:r>
              <w:rPr>
                <w:noProof/>
                <w:webHidden/>
              </w:rPr>
            </w:r>
            <w:r>
              <w:rPr>
                <w:noProof/>
                <w:webHidden/>
              </w:rPr>
              <w:fldChar w:fldCharType="separate"/>
            </w:r>
            <w:r>
              <w:rPr>
                <w:noProof/>
                <w:webHidden/>
              </w:rPr>
              <w:t>8</w:t>
            </w:r>
            <w:r>
              <w:rPr>
                <w:noProof/>
                <w:webHidden/>
              </w:rPr>
              <w:fldChar w:fldCharType="end"/>
            </w:r>
          </w:hyperlink>
        </w:p>
        <w:p w:rsidR="008F2F1A" w:rsidRDefault="008F2F1A">
          <w:pPr>
            <w:pStyle w:val="TOC2"/>
            <w:tabs>
              <w:tab w:val="right" w:leader="dot" w:pos="9463"/>
            </w:tabs>
            <w:rPr>
              <w:rFonts w:eastAsiaTheme="minorEastAsia"/>
              <w:noProof/>
              <w:lang w:eastAsia="en-CA"/>
            </w:rPr>
          </w:pPr>
          <w:hyperlink w:anchor="_Toc17190586" w:history="1">
            <w:r w:rsidRPr="00114E8E">
              <w:rPr>
                <w:rStyle w:val="Hyperlink"/>
                <w:noProof/>
              </w:rPr>
              <w:t>Basic Steps:</w:t>
            </w:r>
            <w:r>
              <w:rPr>
                <w:noProof/>
                <w:webHidden/>
              </w:rPr>
              <w:tab/>
            </w:r>
            <w:r>
              <w:rPr>
                <w:noProof/>
                <w:webHidden/>
              </w:rPr>
              <w:fldChar w:fldCharType="begin"/>
            </w:r>
            <w:r>
              <w:rPr>
                <w:noProof/>
                <w:webHidden/>
              </w:rPr>
              <w:instrText xml:space="preserve"> PAGEREF _Toc17190586 \h </w:instrText>
            </w:r>
            <w:r>
              <w:rPr>
                <w:noProof/>
                <w:webHidden/>
              </w:rPr>
            </w:r>
            <w:r>
              <w:rPr>
                <w:noProof/>
                <w:webHidden/>
              </w:rPr>
              <w:fldChar w:fldCharType="separate"/>
            </w:r>
            <w:r>
              <w:rPr>
                <w:noProof/>
                <w:webHidden/>
              </w:rPr>
              <w:t>8</w:t>
            </w:r>
            <w:r>
              <w:rPr>
                <w:noProof/>
                <w:webHidden/>
              </w:rPr>
              <w:fldChar w:fldCharType="end"/>
            </w:r>
          </w:hyperlink>
        </w:p>
        <w:p w:rsidR="008F2F1A" w:rsidRDefault="008F2F1A">
          <w:pPr>
            <w:pStyle w:val="TOC1"/>
            <w:tabs>
              <w:tab w:val="right" w:leader="dot" w:pos="9463"/>
            </w:tabs>
            <w:rPr>
              <w:rFonts w:eastAsiaTheme="minorEastAsia"/>
              <w:noProof/>
              <w:lang w:eastAsia="en-CA"/>
            </w:rPr>
          </w:pPr>
          <w:hyperlink w:anchor="_Toc17190587" w:history="1">
            <w:r w:rsidRPr="00114E8E">
              <w:rPr>
                <w:rStyle w:val="Hyperlink"/>
                <w:noProof/>
              </w:rPr>
              <w:t>Resources:</w:t>
            </w:r>
            <w:r>
              <w:rPr>
                <w:noProof/>
                <w:webHidden/>
              </w:rPr>
              <w:tab/>
            </w:r>
            <w:r>
              <w:rPr>
                <w:noProof/>
                <w:webHidden/>
              </w:rPr>
              <w:fldChar w:fldCharType="begin"/>
            </w:r>
            <w:r>
              <w:rPr>
                <w:noProof/>
                <w:webHidden/>
              </w:rPr>
              <w:instrText xml:space="preserve"> PAGEREF _Toc17190587 \h </w:instrText>
            </w:r>
            <w:r>
              <w:rPr>
                <w:noProof/>
                <w:webHidden/>
              </w:rPr>
            </w:r>
            <w:r>
              <w:rPr>
                <w:noProof/>
                <w:webHidden/>
              </w:rPr>
              <w:fldChar w:fldCharType="separate"/>
            </w:r>
            <w:r>
              <w:rPr>
                <w:noProof/>
                <w:webHidden/>
              </w:rPr>
              <w:t>9</w:t>
            </w:r>
            <w:r>
              <w:rPr>
                <w:noProof/>
                <w:webHidden/>
              </w:rPr>
              <w:fldChar w:fldCharType="end"/>
            </w:r>
          </w:hyperlink>
        </w:p>
        <w:p w:rsidR="00C374D1" w:rsidRDefault="00C374D1">
          <w:r>
            <w:rPr>
              <w:b/>
              <w:bCs/>
              <w:noProof/>
            </w:rPr>
            <w:fldChar w:fldCharType="end"/>
          </w:r>
        </w:p>
      </w:sdtContent>
    </w:sdt>
    <w:p w:rsidR="00C374D1" w:rsidRPr="00C374D1" w:rsidRDefault="00C374D1" w:rsidP="00546711">
      <w:pPr>
        <w:pStyle w:val="Heading1"/>
      </w:pPr>
      <w:r>
        <w:br w:type="page"/>
      </w:r>
    </w:p>
    <w:p w:rsidR="00781E10" w:rsidRPr="00546711" w:rsidRDefault="007E2EDB" w:rsidP="00546711">
      <w:pPr>
        <w:pStyle w:val="Heading1"/>
      </w:pPr>
      <w:bookmarkStart w:id="1" w:name="_Toc17190575"/>
      <w:r w:rsidRPr="00546711">
        <w:lastRenderedPageBreak/>
        <w:t xml:space="preserve">Understanding </w:t>
      </w:r>
      <w:proofErr w:type="gramStart"/>
      <w:r w:rsidR="00781E10" w:rsidRPr="00546711">
        <w:t>What</w:t>
      </w:r>
      <w:proofErr w:type="gramEnd"/>
      <w:r w:rsidR="00781E10" w:rsidRPr="00546711">
        <w:t xml:space="preserve"> it Means to Hold Property in Trust</w:t>
      </w:r>
      <w:bookmarkEnd w:id="1"/>
    </w:p>
    <w:p w:rsidR="00306CCE" w:rsidRPr="00C374D1" w:rsidRDefault="00781E10" w:rsidP="00546711">
      <w:pPr>
        <w:spacing w:after="0"/>
        <w:rPr>
          <w:rFonts w:cstheme="minorHAnsi"/>
          <w:sz w:val="24"/>
          <w:szCs w:val="24"/>
        </w:rPr>
      </w:pPr>
      <w:r w:rsidRPr="00C374D1">
        <w:rPr>
          <w:rFonts w:cstheme="minorHAnsi"/>
          <w:sz w:val="24"/>
          <w:szCs w:val="24"/>
        </w:rPr>
        <w:t xml:space="preserve">According to the Trustees Handbook:  Congregational property is held by Trustees; they have the title. </w:t>
      </w:r>
      <w:r w:rsidR="00306CCE" w:rsidRPr="00C374D1">
        <w:rPr>
          <w:rFonts w:cstheme="minorHAnsi"/>
          <w:sz w:val="24"/>
          <w:szCs w:val="24"/>
        </w:rPr>
        <w:t xml:space="preserve">The term “congregational Property” means any kind of property that a congregation might own.  It includes:  </w:t>
      </w:r>
    </w:p>
    <w:p w:rsidR="00306CCE" w:rsidRPr="00C374D1" w:rsidRDefault="00306CCE" w:rsidP="00306CCE">
      <w:pPr>
        <w:pStyle w:val="ListParagraph"/>
        <w:numPr>
          <w:ilvl w:val="0"/>
          <w:numId w:val="17"/>
        </w:numPr>
        <w:rPr>
          <w:rFonts w:cstheme="minorHAnsi"/>
          <w:sz w:val="24"/>
          <w:szCs w:val="24"/>
        </w:rPr>
      </w:pPr>
      <w:r w:rsidRPr="00C374D1">
        <w:rPr>
          <w:rFonts w:cstheme="minorHAnsi"/>
          <w:sz w:val="24"/>
          <w:szCs w:val="24"/>
        </w:rPr>
        <w:t>land;</w:t>
      </w:r>
    </w:p>
    <w:p w:rsidR="00306CCE" w:rsidRPr="00C374D1" w:rsidRDefault="00306CCE" w:rsidP="00306CCE">
      <w:pPr>
        <w:pStyle w:val="ListParagraph"/>
        <w:numPr>
          <w:ilvl w:val="0"/>
          <w:numId w:val="17"/>
        </w:numPr>
        <w:rPr>
          <w:rFonts w:cstheme="minorHAnsi"/>
          <w:sz w:val="24"/>
          <w:szCs w:val="24"/>
        </w:rPr>
      </w:pPr>
      <w:r w:rsidRPr="00C374D1">
        <w:rPr>
          <w:rFonts w:cstheme="minorHAnsi"/>
          <w:sz w:val="24"/>
          <w:szCs w:val="24"/>
        </w:rPr>
        <w:t>buildings;</w:t>
      </w:r>
    </w:p>
    <w:p w:rsidR="00306CCE" w:rsidRPr="00C374D1" w:rsidRDefault="00306CCE" w:rsidP="00306CCE">
      <w:pPr>
        <w:pStyle w:val="ListParagraph"/>
        <w:numPr>
          <w:ilvl w:val="0"/>
          <w:numId w:val="17"/>
        </w:numPr>
        <w:rPr>
          <w:rFonts w:cstheme="minorHAnsi"/>
          <w:sz w:val="24"/>
          <w:szCs w:val="24"/>
        </w:rPr>
      </w:pPr>
      <w:r w:rsidRPr="00C374D1">
        <w:rPr>
          <w:rFonts w:cstheme="minorHAnsi"/>
          <w:sz w:val="24"/>
          <w:szCs w:val="24"/>
        </w:rPr>
        <w:t>any other land rights;</w:t>
      </w:r>
    </w:p>
    <w:p w:rsidR="00306CCE" w:rsidRPr="00C374D1" w:rsidRDefault="00306CCE" w:rsidP="00306CCE">
      <w:pPr>
        <w:pStyle w:val="ListParagraph"/>
        <w:numPr>
          <w:ilvl w:val="0"/>
          <w:numId w:val="17"/>
        </w:numPr>
        <w:rPr>
          <w:rFonts w:cstheme="minorHAnsi"/>
          <w:sz w:val="24"/>
          <w:szCs w:val="24"/>
        </w:rPr>
      </w:pPr>
      <w:r w:rsidRPr="00C374D1">
        <w:rPr>
          <w:rFonts w:cstheme="minorHAnsi"/>
          <w:sz w:val="24"/>
          <w:szCs w:val="24"/>
        </w:rPr>
        <w:t>money;</w:t>
      </w:r>
    </w:p>
    <w:p w:rsidR="00306CCE" w:rsidRPr="00C374D1" w:rsidRDefault="00306CCE" w:rsidP="00306CCE">
      <w:pPr>
        <w:pStyle w:val="ListParagraph"/>
        <w:numPr>
          <w:ilvl w:val="0"/>
          <w:numId w:val="17"/>
        </w:numPr>
        <w:rPr>
          <w:rFonts w:cstheme="minorHAnsi"/>
          <w:sz w:val="24"/>
          <w:szCs w:val="24"/>
        </w:rPr>
      </w:pPr>
      <w:r w:rsidRPr="00C374D1">
        <w:rPr>
          <w:rFonts w:cstheme="minorHAnsi"/>
          <w:sz w:val="24"/>
          <w:szCs w:val="24"/>
        </w:rPr>
        <w:t>investments;</w:t>
      </w:r>
    </w:p>
    <w:p w:rsidR="00306CCE" w:rsidRPr="00C374D1" w:rsidRDefault="00306CCE" w:rsidP="00306CCE">
      <w:pPr>
        <w:pStyle w:val="ListParagraph"/>
        <w:numPr>
          <w:ilvl w:val="0"/>
          <w:numId w:val="17"/>
        </w:numPr>
        <w:rPr>
          <w:rFonts w:cstheme="minorHAnsi"/>
          <w:sz w:val="24"/>
          <w:szCs w:val="24"/>
        </w:rPr>
      </w:pPr>
      <w:r w:rsidRPr="00C374D1">
        <w:rPr>
          <w:rFonts w:cstheme="minorHAnsi"/>
          <w:sz w:val="24"/>
          <w:szCs w:val="24"/>
        </w:rPr>
        <w:t xml:space="preserve">furniture; and </w:t>
      </w:r>
    </w:p>
    <w:p w:rsidR="00306CCE" w:rsidRPr="00C374D1" w:rsidRDefault="00306CCE" w:rsidP="00306CCE">
      <w:pPr>
        <w:pStyle w:val="ListParagraph"/>
        <w:numPr>
          <w:ilvl w:val="0"/>
          <w:numId w:val="17"/>
        </w:numPr>
        <w:rPr>
          <w:rFonts w:cstheme="minorHAnsi"/>
          <w:sz w:val="24"/>
          <w:szCs w:val="24"/>
        </w:rPr>
      </w:pPr>
      <w:proofErr w:type="gramStart"/>
      <w:r w:rsidRPr="00C374D1">
        <w:rPr>
          <w:rFonts w:cstheme="minorHAnsi"/>
          <w:sz w:val="24"/>
          <w:szCs w:val="24"/>
        </w:rPr>
        <w:t>equipment</w:t>
      </w:r>
      <w:proofErr w:type="gramEnd"/>
      <w:r w:rsidRPr="00C374D1">
        <w:rPr>
          <w:rFonts w:cstheme="minorHAnsi"/>
          <w:sz w:val="24"/>
          <w:szCs w:val="24"/>
        </w:rPr>
        <w:t>.  (Manual 2019 G.2.2.2)</w:t>
      </w:r>
    </w:p>
    <w:p w:rsidR="00306CCE" w:rsidRPr="00C374D1" w:rsidRDefault="00306CCE" w:rsidP="00546711">
      <w:pPr>
        <w:spacing w:before="120" w:after="120"/>
        <w:rPr>
          <w:rFonts w:cstheme="minorHAnsi"/>
          <w:sz w:val="24"/>
          <w:szCs w:val="24"/>
        </w:rPr>
      </w:pPr>
      <w:r w:rsidRPr="00C374D1">
        <w:rPr>
          <w:rFonts w:cstheme="minorHAnsi"/>
          <w:sz w:val="24"/>
          <w:szCs w:val="24"/>
        </w:rPr>
        <w:t>The Trustees hold the property for the use and benefit of the congregation as part of the</w:t>
      </w:r>
      <w:r w:rsidR="00546711">
        <w:rPr>
          <w:rFonts w:cstheme="minorHAnsi"/>
          <w:sz w:val="24"/>
          <w:szCs w:val="24"/>
        </w:rPr>
        <w:t xml:space="preserve"> </w:t>
      </w:r>
      <w:r w:rsidRPr="00C374D1">
        <w:rPr>
          <w:rFonts w:cstheme="minorHAnsi"/>
          <w:sz w:val="24"/>
          <w:szCs w:val="24"/>
        </w:rPr>
        <w:t xml:space="preserve">United Church. </w:t>
      </w:r>
      <w:r w:rsidRPr="00546711">
        <w:rPr>
          <w:rFonts w:cstheme="minorHAnsi"/>
          <w:b/>
          <w:sz w:val="24"/>
          <w:szCs w:val="24"/>
        </w:rPr>
        <w:t>The Trustees must follow the lawful directions of the Official Board or Church Board or Church Council. The Trustees cannot deal with certain property without first obtaining the consent of the Regional Council.</w:t>
      </w:r>
      <w:r w:rsidRPr="00C374D1">
        <w:rPr>
          <w:rFonts w:cstheme="minorHAnsi"/>
          <w:sz w:val="24"/>
          <w:szCs w:val="24"/>
        </w:rPr>
        <w:t xml:space="preserve"> Where an organized congregation ceases to exist, the Regional Council determines how the property is to be used. </w:t>
      </w:r>
      <w:r w:rsidR="00221CDD" w:rsidRPr="00C374D1">
        <w:rPr>
          <w:rFonts w:cstheme="minorHAnsi"/>
          <w:sz w:val="24"/>
          <w:szCs w:val="24"/>
        </w:rPr>
        <w:t xml:space="preserve">This method for holding property was legally instituted as part of the formation of the United Church of Canada and was established through Federal legislation.  </w:t>
      </w:r>
    </w:p>
    <w:p w:rsidR="00221CDD" w:rsidRPr="00C374D1" w:rsidRDefault="00221CDD" w:rsidP="00546711">
      <w:pPr>
        <w:spacing w:before="120" w:after="120"/>
        <w:rPr>
          <w:rFonts w:cstheme="minorHAnsi"/>
          <w:sz w:val="24"/>
          <w:szCs w:val="24"/>
        </w:rPr>
      </w:pPr>
      <w:r w:rsidRPr="00C374D1">
        <w:rPr>
          <w:rFonts w:cstheme="minorHAnsi"/>
          <w:sz w:val="24"/>
          <w:szCs w:val="24"/>
        </w:rPr>
        <w:t>Spiritually, holding property in trust reminds us that we are bound together by the Holy Spirit and connected with the “great cloud of witnesses” (Heb. 12:1) who came before us, and those who will follow us.  We do not possess the resources of the church as individ</w:t>
      </w:r>
      <w:r w:rsidR="00306CCE" w:rsidRPr="00C374D1">
        <w:rPr>
          <w:rFonts w:cstheme="minorHAnsi"/>
          <w:sz w:val="24"/>
          <w:szCs w:val="24"/>
        </w:rPr>
        <w:t xml:space="preserve">uals or congregations.  Instead </w:t>
      </w:r>
      <w:r w:rsidRPr="00C374D1">
        <w:rPr>
          <w:rFonts w:cstheme="minorHAnsi"/>
          <w:sz w:val="24"/>
          <w:szCs w:val="24"/>
        </w:rPr>
        <w:t xml:space="preserve">we are stewards of these gifts that have been given and dedicated to the ministry we share as members of the United Church of Canada. </w:t>
      </w:r>
      <w:r w:rsidR="00A05388" w:rsidRPr="00C374D1">
        <w:rPr>
          <w:rFonts w:cstheme="minorHAnsi"/>
          <w:sz w:val="24"/>
          <w:szCs w:val="24"/>
        </w:rPr>
        <w:t xml:space="preserve">Often this represents a legacy that has been passed forward through the generations and into our care.  </w:t>
      </w:r>
      <w:r w:rsidRPr="00C374D1">
        <w:rPr>
          <w:rFonts w:cstheme="minorHAnsi"/>
          <w:sz w:val="24"/>
          <w:szCs w:val="24"/>
        </w:rPr>
        <w:t xml:space="preserve">Trustees are literally entrusted with the care and good management of the congregation’s assets and property.  </w:t>
      </w:r>
    </w:p>
    <w:p w:rsidR="00A05388" w:rsidRPr="00C374D1" w:rsidRDefault="00A05388" w:rsidP="00546711">
      <w:pPr>
        <w:spacing w:before="120" w:after="120"/>
        <w:rPr>
          <w:rFonts w:cstheme="minorHAnsi"/>
          <w:sz w:val="24"/>
          <w:szCs w:val="24"/>
        </w:rPr>
      </w:pPr>
      <w:r w:rsidRPr="00C374D1">
        <w:rPr>
          <w:rFonts w:cstheme="minorHAnsi"/>
          <w:sz w:val="24"/>
          <w:szCs w:val="24"/>
        </w:rPr>
        <w:t>Consequently, decisions about the use of Church property are made in consultation with the wider church, and in keeping with the Model Trust Deed, The United Church Manual and Regional Council policies to ensure that gifts given for the ministry of the United Church continue to be used for this purpose.</w:t>
      </w:r>
      <w:r w:rsidR="0065596C" w:rsidRPr="00C374D1">
        <w:rPr>
          <w:rFonts w:cstheme="minorHAnsi"/>
          <w:sz w:val="24"/>
          <w:szCs w:val="24"/>
        </w:rPr>
        <w:t xml:space="preserve">  </w:t>
      </w:r>
    </w:p>
    <w:p w:rsidR="00546711" w:rsidRPr="00546711" w:rsidRDefault="004372B7" w:rsidP="00206116">
      <w:pPr>
        <w:pStyle w:val="Heading2"/>
      </w:pPr>
      <w:bookmarkStart w:id="2" w:name="_Toc17190576"/>
      <w:r w:rsidRPr="00546711">
        <w:rPr>
          <w:rStyle w:val="Heading2Char"/>
          <w:b/>
        </w:rPr>
        <w:t>Definitions:</w:t>
      </w:r>
      <w:bookmarkEnd w:id="2"/>
      <w:r w:rsidRPr="00546711">
        <w:t xml:space="preserve"> </w:t>
      </w:r>
    </w:p>
    <w:p w:rsidR="004372B7" w:rsidRPr="00C374D1" w:rsidRDefault="004372B7" w:rsidP="004372B7">
      <w:pPr>
        <w:rPr>
          <w:rFonts w:cstheme="minorHAnsi"/>
          <w:sz w:val="24"/>
          <w:szCs w:val="24"/>
        </w:rPr>
      </w:pPr>
      <w:r w:rsidRPr="00C374D1">
        <w:rPr>
          <w:rFonts w:cstheme="minorHAnsi"/>
          <w:sz w:val="24"/>
          <w:szCs w:val="24"/>
        </w:rPr>
        <w:t xml:space="preserve">There are two groups of property. “Real property” includes the land, building, and anything attached to the land or building. “Personal Property” includes any object not attached (pews, chairs, tables, computers, etc.)  Some Personal Property is considered a Major Asset based on the </w:t>
      </w:r>
      <w:hyperlink r:id="rId8" w:history="1">
        <w:r w:rsidRPr="00302983">
          <w:rPr>
            <w:rStyle w:val="Hyperlink"/>
            <w:rFonts w:cstheme="minorHAnsi"/>
            <w:sz w:val="24"/>
            <w:szCs w:val="24"/>
          </w:rPr>
          <w:t>property policy</w:t>
        </w:r>
      </w:hyperlink>
      <w:r w:rsidRPr="00C374D1">
        <w:rPr>
          <w:rFonts w:cstheme="minorHAnsi"/>
          <w:sz w:val="24"/>
          <w:szCs w:val="24"/>
        </w:rPr>
        <w:t xml:space="preserve"> of each regional council.  </w:t>
      </w:r>
    </w:p>
    <w:p w:rsidR="00306CCE" w:rsidRPr="00C374D1" w:rsidRDefault="00306CCE" w:rsidP="001B06C3">
      <w:pPr>
        <w:rPr>
          <w:rFonts w:cstheme="minorHAnsi"/>
          <w:b/>
          <w:sz w:val="24"/>
          <w:szCs w:val="24"/>
        </w:rPr>
      </w:pPr>
    </w:p>
    <w:p w:rsidR="00A05388" w:rsidRPr="00C374D1" w:rsidRDefault="00A05388" w:rsidP="00546711">
      <w:pPr>
        <w:pStyle w:val="Heading1"/>
      </w:pPr>
      <w:bookmarkStart w:id="3" w:name="_Toc17190577"/>
      <w:r w:rsidRPr="00C374D1">
        <w:lastRenderedPageBreak/>
        <w:t>Antler River Watershed</w:t>
      </w:r>
      <w:r w:rsidR="00993701" w:rsidRPr="00C374D1">
        <w:t xml:space="preserve"> Regional Council</w:t>
      </w:r>
      <w:r w:rsidR="000C777D" w:rsidRPr="00C374D1">
        <w:t xml:space="preserve"> Property Policy</w:t>
      </w:r>
      <w:bookmarkEnd w:id="3"/>
    </w:p>
    <w:p w:rsidR="000C777D" w:rsidRPr="00C374D1" w:rsidRDefault="000C777D" w:rsidP="00546711">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The regional council understands itself in partnership with the local congregation and with the wider United Church of Canada in the fulfillment of its responsibilities concerning the real and personal property of congregations. The regional council will communicate its</w:t>
      </w:r>
      <w:r w:rsidR="00302983">
        <w:rPr>
          <w:rFonts w:eastAsia="Times New Roman" w:cstheme="minorHAnsi"/>
          <w:color w:val="000000"/>
          <w:sz w:val="24"/>
          <w:szCs w:val="24"/>
          <w:lang w:eastAsia="en-CA"/>
        </w:rPr>
        <w:t xml:space="preserve"> </w:t>
      </w:r>
      <w:hyperlink r:id="rId9" w:history="1">
        <w:r w:rsidR="00302983" w:rsidRPr="00302983">
          <w:rPr>
            <w:rStyle w:val="Hyperlink"/>
            <w:rFonts w:eastAsia="Times New Roman" w:cstheme="minorHAnsi"/>
            <w:sz w:val="24"/>
            <w:szCs w:val="24"/>
            <w:lang w:eastAsia="en-CA"/>
          </w:rPr>
          <w:t>property</w:t>
        </w:r>
        <w:r w:rsidRPr="00302983">
          <w:rPr>
            <w:rStyle w:val="Hyperlink"/>
            <w:rFonts w:eastAsia="Times New Roman" w:cstheme="minorHAnsi"/>
            <w:sz w:val="24"/>
            <w:szCs w:val="24"/>
            <w:lang w:eastAsia="en-CA"/>
          </w:rPr>
          <w:t xml:space="preserve"> policy</w:t>
        </w:r>
      </w:hyperlink>
      <w:r w:rsidRPr="00C374D1">
        <w:rPr>
          <w:rFonts w:eastAsia="Times New Roman" w:cstheme="minorHAnsi"/>
          <w:color w:val="000000"/>
          <w:sz w:val="24"/>
          <w:szCs w:val="24"/>
          <w:lang w:eastAsia="en-CA"/>
        </w:rPr>
        <w:t xml:space="preserve"> clearly and be available for consultation and discussion with congregations when they are making decisions in co-operation with the regional council.</w:t>
      </w:r>
    </w:p>
    <w:p w:rsidR="000C777D" w:rsidRPr="00C374D1" w:rsidRDefault="000C777D" w:rsidP="00206116">
      <w:pPr>
        <w:pStyle w:val="Heading2"/>
      </w:pPr>
      <w:bookmarkStart w:id="4" w:name="_Toc17190578"/>
      <w:r w:rsidRPr="00C374D1">
        <w:t>Major Assets</w:t>
      </w:r>
      <w:r w:rsidR="004372B7" w:rsidRPr="00C374D1">
        <w:t xml:space="preserve"> (Personal Property)</w:t>
      </w:r>
      <w:bookmarkEnd w:id="4"/>
    </w:p>
    <w:p w:rsidR="00A30F21" w:rsidRPr="00C374D1" w:rsidRDefault="00A30F21" w:rsidP="00546711">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A community of Faith must consult with the Regional Council Covenant Commission and receive consent to </w:t>
      </w:r>
      <w:r w:rsidRPr="00C374D1">
        <w:rPr>
          <w:rFonts w:cstheme="minorHAnsi"/>
          <w:sz w:val="24"/>
          <w:szCs w:val="24"/>
        </w:rPr>
        <w:t>acquire, sell, mortgage, exchange, lease, or otherwise deal with a Major Asset of the community of faith.</w:t>
      </w:r>
    </w:p>
    <w:p w:rsidR="000C777D" w:rsidRPr="00C374D1" w:rsidRDefault="000C777D" w:rsidP="00546711">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A major asset is defined as any item or group of items with an accrued or evaluated value that is equal to</w:t>
      </w:r>
      <w:r w:rsidR="00A30F21" w:rsidRPr="00C374D1">
        <w:rPr>
          <w:rFonts w:eastAsia="Times New Roman" w:cstheme="minorHAnsi"/>
          <w:color w:val="000000"/>
          <w:sz w:val="24"/>
          <w:szCs w:val="24"/>
          <w:lang w:eastAsia="en-CA"/>
        </w:rPr>
        <w:t>,</w:t>
      </w:r>
      <w:r w:rsidRPr="00C374D1">
        <w:rPr>
          <w:rFonts w:eastAsia="Times New Roman" w:cstheme="minorHAnsi"/>
          <w:color w:val="000000"/>
          <w:sz w:val="24"/>
          <w:szCs w:val="24"/>
          <w:lang w:eastAsia="en-CA"/>
        </w:rPr>
        <w:t xml:space="preserve"> or greater than</w:t>
      </w:r>
      <w:r w:rsidR="00A30F21" w:rsidRPr="00C374D1">
        <w:rPr>
          <w:rFonts w:eastAsia="Times New Roman" w:cstheme="minorHAnsi"/>
          <w:color w:val="000000"/>
          <w:sz w:val="24"/>
          <w:szCs w:val="24"/>
          <w:lang w:eastAsia="en-CA"/>
        </w:rPr>
        <w:t>,</w:t>
      </w:r>
      <w:r w:rsidRPr="00C374D1">
        <w:rPr>
          <w:rFonts w:eastAsia="Times New Roman" w:cstheme="minorHAnsi"/>
          <w:color w:val="000000"/>
          <w:sz w:val="24"/>
          <w:szCs w:val="24"/>
          <w:lang w:eastAsia="en-CA"/>
        </w:rPr>
        <w:t xml:space="preserve"> either 50% of the net revenue of the community of faith (as calculated for assessment purposes for the previous calendar year) </w:t>
      </w:r>
      <w:r w:rsidRPr="00C374D1">
        <w:rPr>
          <w:rFonts w:eastAsia="Times New Roman" w:cstheme="minorHAnsi"/>
          <w:color w:val="000000"/>
          <w:sz w:val="24"/>
          <w:szCs w:val="24"/>
          <w:u w:val="single"/>
          <w:lang w:eastAsia="en-CA"/>
        </w:rPr>
        <w:t>OR</w:t>
      </w:r>
      <w:r w:rsidRPr="00C374D1">
        <w:rPr>
          <w:rFonts w:eastAsia="Times New Roman" w:cstheme="minorHAnsi"/>
          <w:color w:val="000000"/>
          <w:sz w:val="24"/>
          <w:szCs w:val="24"/>
          <w:lang w:eastAsia="en-CA"/>
        </w:rPr>
        <w:t xml:space="preserve"> $150,000</w:t>
      </w:r>
      <w:r w:rsidR="003B7DC5" w:rsidRPr="00C374D1">
        <w:rPr>
          <w:rFonts w:eastAsia="Times New Roman" w:cstheme="minorHAnsi"/>
          <w:color w:val="000000"/>
          <w:sz w:val="24"/>
          <w:szCs w:val="24"/>
          <w:lang w:eastAsia="en-CA"/>
        </w:rPr>
        <w:t>, whichever is lower.</w:t>
      </w:r>
      <w:r w:rsidRPr="00C374D1">
        <w:rPr>
          <w:rFonts w:eastAsia="Times New Roman" w:cstheme="minorHAnsi"/>
          <w:color w:val="000000"/>
          <w:sz w:val="24"/>
          <w:szCs w:val="24"/>
          <w:lang w:eastAsia="en-CA"/>
        </w:rPr>
        <w:t xml:space="preserve"> </w:t>
      </w:r>
    </w:p>
    <w:p w:rsidR="003B7DC5" w:rsidRPr="00C374D1" w:rsidRDefault="003B7DC5" w:rsidP="00546711">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For example:</w:t>
      </w:r>
    </w:p>
    <w:p w:rsidR="003B7DC5" w:rsidRPr="00C374D1" w:rsidRDefault="00A30F21" w:rsidP="00546711">
      <w:pPr>
        <w:pStyle w:val="ListParagraph"/>
        <w:numPr>
          <w:ilvl w:val="0"/>
          <w:numId w:val="5"/>
        </w:num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The previous year, </w:t>
      </w:r>
      <w:r w:rsidR="003B7DC5" w:rsidRPr="00C374D1">
        <w:rPr>
          <w:rFonts w:eastAsia="Times New Roman" w:cstheme="minorHAnsi"/>
          <w:color w:val="000000"/>
          <w:sz w:val="24"/>
          <w:szCs w:val="24"/>
          <w:lang w:eastAsia="en-CA"/>
        </w:rPr>
        <w:t>Congregation A ha</w:t>
      </w:r>
      <w:r w:rsidRPr="00C374D1">
        <w:rPr>
          <w:rFonts w:eastAsia="Times New Roman" w:cstheme="minorHAnsi"/>
          <w:color w:val="000000"/>
          <w:sz w:val="24"/>
          <w:szCs w:val="24"/>
          <w:lang w:eastAsia="en-CA"/>
        </w:rPr>
        <w:t>d</w:t>
      </w:r>
      <w:r w:rsidR="003B7DC5" w:rsidRPr="00C374D1">
        <w:rPr>
          <w:rFonts w:eastAsia="Times New Roman" w:cstheme="minorHAnsi"/>
          <w:color w:val="000000"/>
          <w:sz w:val="24"/>
          <w:szCs w:val="24"/>
          <w:lang w:eastAsia="en-CA"/>
        </w:rPr>
        <w:t xml:space="preserve"> a net income for assessment purposes of </w:t>
      </w:r>
      <w:r w:rsidRPr="00C374D1">
        <w:rPr>
          <w:rFonts w:eastAsia="Times New Roman" w:cstheme="minorHAnsi"/>
          <w:color w:val="000000"/>
          <w:sz w:val="24"/>
          <w:szCs w:val="24"/>
          <w:lang w:eastAsia="en-CA"/>
        </w:rPr>
        <w:t>$</w:t>
      </w:r>
      <w:r w:rsidR="003B7DC5" w:rsidRPr="00C374D1">
        <w:rPr>
          <w:rFonts w:eastAsia="Times New Roman" w:cstheme="minorHAnsi"/>
          <w:color w:val="000000"/>
          <w:sz w:val="24"/>
          <w:szCs w:val="24"/>
          <w:lang w:eastAsia="en-CA"/>
        </w:rPr>
        <w:t>200,000.</w:t>
      </w:r>
    </w:p>
    <w:p w:rsidR="003B7DC5" w:rsidRPr="00C374D1" w:rsidRDefault="00AB4F24" w:rsidP="00546711">
      <w:pPr>
        <w:spacing w:before="120" w:after="120" w:line="240" w:lineRule="auto"/>
        <w:ind w:firstLine="720"/>
        <w:rPr>
          <w:rFonts w:eastAsia="Times New Roman" w:cstheme="minorHAnsi"/>
          <w:color w:val="000000"/>
          <w:sz w:val="24"/>
          <w:szCs w:val="24"/>
          <w:lang w:eastAsia="en-CA"/>
        </w:rPr>
      </w:pPr>
      <w:r w:rsidRPr="00C374D1">
        <w:rPr>
          <w:rFonts w:eastAsia="Times New Roman" w:cstheme="minorHAnsi"/>
          <w:color w:val="000000"/>
          <w:sz w:val="24"/>
          <w:szCs w:val="24"/>
          <w:lang w:eastAsia="en-CA"/>
        </w:rPr>
        <w:t>50% of 2</w:t>
      </w:r>
      <w:r w:rsidR="003B7DC5" w:rsidRPr="00C374D1">
        <w:rPr>
          <w:rFonts w:eastAsia="Times New Roman" w:cstheme="minorHAnsi"/>
          <w:color w:val="000000"/>
          <w:sz w:val="24"/>
          <w:szCs w:val="24"/>
          <w:lang w:eastAsia="en-CA"/>
        </w:rPr>
        <w:t>00,000</w:t>
      </w:r>
      <w:r w:rsidR="00300537">
        <w:rPr>
          <w:rFonts w:eastAsia="Times New Roman" w:cstheme="minorHAnsi"/>
          <w:color w:val="000000"/>
          <w:sz w:val="24"/>
          <w:szCs w:val="24"/>
          <w:lang w:eastAsia="en-CA"/>
        </w:rPr>
        <w:t xml:space="preserve"> </w:t>
      </w:r>
      <w:r w:rsidR="003B7DC5" w:rsidRPr="00C374D1">
        <w:rPr>
          <w:rFonts w:eastAsia="Times New Roman" w:cstheme="minorHAnsi"/>
          <w:color w:val="000000"/>
          <w:sz w:val="24"/>
          <w:szCs w:val="24"/>
          <w:lang w:eastAsia="en-CA"/>
        </w:rPr>
        <w:t>= 100,000</w:t>
      </w:r>
    </w:p>
    <w:p w:rsidR="003B7DC5" w:rsidRPr="00C374D1" w:rsidRDefault="003B7DC5" w:rsidP="00546711">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In this situation, any asset with a value greater than $100,000 is considered a </w:t>
      </w:r>
      <w:r w:rsidRPr="00C374D1">
        <w:rPr>
          <w:rFonts w:eastAsia="Times New Roman" w:cstheme="minorHAnsi"/>
          <w:color w:val="000000"/>
          <w:sz w:val="24"/>
          <w:szCs w:val="24"/>
          <w:u w:val="single"/>
          <w:lang w:eastAsia="en-CA"/>
        </w:rPr>
        <w:t>Major Asset</w:t>
      </w:r>
      <w:r w:rsidRPr="00C374D1">
        <w:rPr>
          <w:rFonts w:eastAsia="Times New Roman" w:cstheme="minorHAnsi"/>
          <w:color w:val="000000"/>
          <w:sz w:val="24"/>
          <w:szCs w:val="24"/>
          <w:lang w:eastAsia="en-CA"/>
        </w:rPr>
        <w:t xml:space="preserve"> for this community of faith.</w:t>
      </w:r>
    </w:p>
    <w:p w:rsidR="003B7DC5" w:rsidRPr="00C374D1" w:rsidRDefault="00A30F21" w:rsidP="00546711">
      <w:pPr>
        <w:pStyle w:val="ListParagraph"/>
        <w:numPr>
          <w:ilvl w:val="0"/>
          <w:numId w:val="5"/>
        </w:num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The previous year, </w:t>
      </w:r>
      <w:r w:rsidR="003B7DC5" w:rsidRPr="00C374D1">
        <w:rPr>
          <w:rFonts w:eastAsia="Times New Roman" w:cstheme="minorHAnsi"/>
          <w:color w:val="000000"/>
          <w:sz w:val="24"/>
          <w:szCs w:val="24"/>
          <w:lang w:eastAsia="en-CA"/>
        </w:rPr>
        <w:t xml:space="preserve">Congregation B has a net income for assessment purposes of </w:t>
      </w:r>
      <w:r w:rsidRPr="00C374D1">
        <w:rPr>
          <w:rFonts w:eastAsia="Times New Roman" w:cstheme="minorHAnsi"/>
          <w:color w:val="000000"/>
          <w:sz w:val="24"/>
          <w:szCs w:val="24"/>
          <w:lang w:eastAsia="en-CA"/>
        </w:rPr>
        <w:t>$</w:t>
      </w:r>
      <w:r w:rsidR="003B7DC5" w:rsidRPr="00C374D1">
        <w:rPr>
          <w:rFonts w:eastAsia="Times New Roman" w:cstheme="minorHAnsi"/>
          <w:color w:val="000000"/>
          <w:sz w:val="24"/>
          <w:szCs w:val="24"/>
          <w:lang w:eastAsia="en-CA"/>
        </w:rPr>
        <w:t>400,000</w:t>
      </w:r>
    </w:p>
    <w:p w:rsidR="003B7DC5" w:rsidRPr="00C374D1" w:rsidRDefault="003B7DC5" w:rsidP="00546711">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ab/>
        <w:t>50% of 400,000</w:t>
      </w:r>
      <w:r w:rsidR="00300537">
        <w:rPr>
          <w:rFonts w:eastAsia="Times New Roman" w:cstheme="minorHAnsi"/>
          <w:color w:val="000000"/>
          <w:sz w:val="24"/>
          <w:szCs w:val="24"/>
          <w:lang w:eastAsia="en-CA"/>
        </w:rPr>
        <w:t xml:space="preserve"> </w:t>
      </w:r>
      <w:r w:rsidRPr="00C374D1">
        <w:rPr>
          <w:rFonts w:eastAsia="Times New Roman" w:cstheme="minorHAnsi"/>
          <w:color w:val="000000"/>
          <w:sz w:val="24"/>
          <w:szCs w:val="24"/>
          <w:lang w:eastAsia="en-CA"/>
        </w:rPr>
        <w:t>=</w:t>
      </w:r>
      <w:r w:rsidR="00300537">
        <w:rPr>
          <w:rFonts w:eastAsia="Times New Roman" w:cstheme="minorHAnsi"/>
          <w:color w:val="000000"/>
          <w:sz w:val="24"/>
          <w:szCs w:val="24"/>
          <w:lang w:eastAsia="en-CA"/>
        </w:rPr>
        <w:t xml:space="preserve"> </w:t>
      </w:r>
      <w:r w:rsidRPr="00C374D1">
        <w:rPr>
          <w:rFonts w:eastAsia="Times New Roman" w:cstheme="minorHAnsi"/>
          <w:color w:val="000000"/>
          <w:sz w:val="24"/>
          <w:szCs w:val="24"/>
          <w:lang w:eastAsia="en-CA"/>
        </w:rPr>
        <w:t>200,000</w:t>
      </w:r>
    </w:p>
    <w:p w:rsidR="003B7DC5" w:rsidRPr="00C374D1" w:rsidRDefault="003B7DC5" w:rsidP="00546711">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In this situation, any asset with a value greater than $150,000 is considered a </w:t>
      </w:r>
      <w:r w:rsidRPr="00C374D1">
        <w:rPr>
          <w:rFonts w:eastAsia="Times New Roman" w:cstheme="minorHAnsi"/>
          <w:color w:val="000000"/>
          <w:sz w:val="24"/>
          <w:szCs w:val="24"/>
          <w:u w:val="single"/>
          <w:lang w:eastAsia="en-CA"/>
        </w:rPr>
        <w:t>Major Asset</w:t>
      </w:r>
      <w:r w:rsidRPr="00C374D1">
        <w:rPr>
          <w:rFonts w:eastAsia="Times New Roman" w:cstheme="minorHAnsi"/>
          <w:color w:val="000000"/>
          <w:sz w:val="24"/>
          <w:szCs w:val="24"/>
          <w:lang w:eastAsia="en-CA"/>
        </w:rPr>
        <w:t xml:space="preserve"> for this community of faith.</w:t>
      </w:r>
      <w:r w:rsidR="00C27A60" w:rsidRPr="00C374D1">
        <w:rPr>
          <w:rFonts w:eastAsia="Times New Roman" w:cstheme="minorHAnsi"/>
          <w:color w:val="000000"/>
          <w:sz w:val="24"/>
          <w:szCs w:val="24"/>
          <w:lang w:eastAsia="en-CA"/>
        </w:rPr>
        <w:t xml:space="preserve">  Decisions regarding a major asset require consultation with the </w:t>
      </w:r>
      <w:r w:rsidR="00300537">
        <w:rPr>
          <w:rFonts w:eastAsia="Times New Roman" w:cstheme="minorHAnsi"/>
          <w:color w:val="000000"/>
          <w:sz w:val="24"/>
          <w:szCs w:val="24"/>
          <w:lang w:eastAsia="en-CA"/>
        </w:rPr>
        <w:t>Antler River Watershed</w:t>
      </w:r>
      <w:r w:rsidR="00C27A60" w:rsidRPr="00C374D1">
        <w:rPr>
          <w:rFonts w:eastAsia="Times New Roman" w:cstheme="minorHAnsi"/>
          <w:color w:val="000000"/>
          <w:sz w:val="24"/>
          <w:szCs w:val="24"/>
          <w:lang w:eastAsia="en-CA"/>
        </w:rPr>
        <w:t xml:space="preserve"> Covenant Commission.</w:t>
      </w:r>
    </w:p>
    <w:p w:rsidR="00302983" w:rsidRDefault="00302983">
      <w:pPr>
        <w:rPr>
          <w:rFonts w:asciiTheme="majorHAnsi" w:hAnsiTheme="majorHAnsi"/>
          <w:b/>
          <w:color w:val="2E74B5" w:themeColor="accent1" w:themeShade="BF"/>
          <w:sz w:val="26"/>
          <w:szCs w:val="26"/>
        </w:rPr>
      </w:pPr>
      <w:r>
        <w:br w:type="page"/>
      </w:r>
    </w:p>
    <w:p w:rsidR="000C777D" w:rsidRPr="00C374D1" w:rsidRDefault="000C777D" w:rsidP="00206116">
      <w:pPr>
        <w:pStyle w:val="Heading2"/>
      </w:pPr>
      <w:bookmarkStart w:id="5" w:name="_Toc17190579"/>
      <w:r w:rsidRPr="00C374D1">
        <w:lastRenderedPageBreak/>
        <w:t>Major Renovations</w:t>
      </w:r>
      <w:bookmarkEnd w:id="5"/>
    </w:p>
    <w:p w:rsidR="00F07C07" w:rsidRPr="00C374D1" w:rsidRDefault="00F07C07" w:rsidP="00302983">
      <w:pPr>
        <w:spacing w:before="120" w:after="120" w:line="240" w:lineRule="auto"/>
        <w:rPr>
          <w:rFonts w:eastAsia="Times New Roman" w:cstheme="minorHAnsi"/>
          <w:b/>
          <w:color w:val="000000"/>
          <w:sz w:val="24"/>
          <w:szCs w:val="24"/>
          <w:lang w:eastAsia="en-CA"/>
        </w:rPr>
      </w:pPr>
      <w:r w:rsidRPr="00C374D1">
        <w:rPr>
          <w:rFonts w:eastAsia="Times New Roman" w:cstheme="minorHAnsi"/>
          <w:color w:val="000000"/>
          <w:sz w:val="24"/>
          <w:szCs w:val="24"/>
          <w:lang w:eastAsia="en-CA"/>
        </w:rPr>
        <w:t xml:space="preserve">A community of </w:t>
      </w:r>
      <w:r w:rsidR="00264968" w:rsidRPr="00C374D1">
        <w:rPr>
          <w:rFonts w:eastAsia="Times New Roman" w:cstheme="minorHAnsi"/>
          <w:color w:val="000000"/>
          <w:sz w:val="24"/>
          <w:szCs w:val="24"/>
          <w:lang w:eastAsia="en-CA"/>
        </w:rPr>
        <w:t>f</w:t>
      </w:r>
      <w:r w:rsidRPr="00C374D1">
        <w:rPr>
          <w:rFonts w:eastAsia="Times New Roman" w:cstheme="minorHAnsi"/>
          <w:color w:val="000000"/>
          <w:sz w:val="24"/>
          <w:szCs w:val="24"/>
          <w:lang w:eastAsia="en-CA"/>
        </w:rPr>
        <w:t>aith must consult with the Regional Council Covenant Commission and receive consent to</w:t>
      </w:r>
      <w:r w:rsidRPr="00C374D1">
        <w:rPr>
          <w:rFonts w:cstheme="minorHAnsi"/>
          <w:sz w:val="24"/>
          <w:szCs w:val="24"/>
        </w:rPr>
        <w:t xml:space="preserve"> erect, enlarge, demolish, rebuild, or effect “major renovations” to any building held or to be held for any community of faith</w:t>
      </w:r>
    </w:p>
    <w:p w:rsidR="000C777D" w:rsidRPr="00C374D1" w:rsidRDefault="000C777D" w:rsidP="00302983">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Antler River Watershed Regional Council defines “major renovations” as any repair, work, addition, upgrade or capital improvement or like project to the real property of a congregation or pastoral charge estimated or expected to cost the lower of 50% of net revenue used for assessment purposes for the prior calendar year or $150,000.00 or more, with all costs in, including without limitation applicable taxes, design, permits, project management and commissions.</w:t>
      </w:r>
    </w:p>
    <w:p w:rsidR="00264968" w:rsidRPr="00C374D1" w:rsidRDefault="00264968" w:rsidP="00302983">
      <w:pPr>
        <w:pStyle w:val="ListParagraph"/>
        <w:numPr>
          <w:ilvl w:val="0"/>
          <w:numId w:val="6"/>
        </w:num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The previous year, Congregation A had a net income for assessment purposes of $200,000.</w:t>
      </w:r>
    </w:p>
    <w:p w:rsidR="00264968" w:rsidRPr="00C374D1" w:rsidRDefault="00B2369E" w:rsidP="00302983">
      <w:pPr>
        <w:spacing w:before="120" w:after="120" w:line="240" w:lineRule="auto"/>
        <w:ind w:firstLine="720"/>
        <w:rPr>
          <w:rFonts w:eastAsia="Times New Roman" w:cstheme="minorHAnsi"/>
          <w:color w:val="000000"/>
          <w:sz w:val="24"/>
          <w:szCs w:val="24"/>
          <w:lang w:eastAsia="en-CA"/>
        </w:rPr>
      </w:pPr>
      <w:r w:rsidRPr="00C374D1">
        <w:rPr>
          <w:rFonts w:eastAsia="Times New Roman" w:cstheme="minorHAnsi"/>
          <w:color w:val="000000"/>
          <w:sz w:val="24"/>
          <w:szCs w:val="24"/>
          <w:lang w:eastAsia="en-CA"/>
        </w:rPr>
        <w:t>50% of 2</w:t>
      </w:r>
      <w:r w:rsidR="00264968" w:rsidRPr="00C374D1">
        <w:rPr>
          <w:rFonts w:eastAsia="Times New Roman" w:cstheme="minorHAnsi"/>
          <w:color w:val="000000"/>
          <w:sz w:val="24"/>
          <w:szCs w:val="24"/>
          <w:lang w:eastAsia="en-CA"/>
        </w:rPr>
        <w:t>00,000= 100,000</w:t>
      </w:r>
    </w:p>
    <w:p w:rsidR="00264968" w:rsidRPr="00C374D1" w:rsidRDefault="00264968" w:rsidP="00302983">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In this situation any renovations to property with an expected cost (including applicable taxes, design costs, permits, project management fee and commissions) of $100,000 or more is considered a Major Renovation.  </w:t>
      </w:r>
    </w:p>
    <w:p w:rsidR="00264968" w:rsidRPr="00C374D1" w:rsidRDefault="00264968" w:rsidP="00302983">
      <w:pPr>
        <w:pStyle w:val="ListParagraph"/>
        <w:numPr>
          <w:ilvl w:val="0"/>
          <w:numId w:val="6"/>
        </w:num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The previous year, Congregation B has a net income for assessment purposes of $400,000</w:t>
      </w:r>
    </w:p>
    <w:p w:rsidR="00264968" w:rsidRPr="00C374D1" w:rsidRDefault="00264968" w:rsidP="00302983">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ab/>
        <w:t>50% of 400,000=200,000</w:t>
      </w:r>
    </w:p>
    <w:p w:rsidR="00264968" w:rsidRPr="00C374D1" w:rsidRDefault="00264968" w:rsidP="00302983">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In this situation any renovations to property with an expected cost (including applicable taxes, design costs, permits, project management fee and commissions) of $150,000 or more is considered a </w:t>
      </w:r>
      <w:r w:rsidRPr="007A2361">
        <w:rPr>
          <w:rFonts w:eastAsia="Times New Roman" w:cstheme="minorHAnsi"/>
          <w:color w:val="000000"/>
          <w:sz w:val="24"/>
          <w:szCs w:val="24"/>
          <w:u w:val="single"/>
          <w:lang w:eastAsia="en-CA"/>
        </w:rPr>
        <w:t>Major Renovation</w:t>
      </w:r>
      <w:r w:rsidRPr="00C374D1">
        <w:rPr>
          <w:rFonts w:eastAsia="Times New Roman" w:cstheme="minorHAnsi"/>
          <w:color w:val="000000"/>
          <w:sz w:val="24"/>
          <w:szCs w:val="24"/>
          <w:lang w:eastAsia="en-CA"/>
        </w:rPr>
        <w:t xml:space="preserve">.  </w:t>
      </w:r>
      <w:r w:rsidR="00C27A60" w:rsidRPr="00C374D1">
        <w:rPr>
          <w:rFonts w:eastAsia="Times New Roman" w:cstheme="minorHAnsi"/>
          <w:color w:val="000000"/>
          <w:sz w:val="24"/>
          <w:szCs w:val="24"/>
          <w:lang w:eastAsia="en-CA"/>
        </w:rPr>
        <w:t>Decisions regarding a major renovation require consultation with the Horseshoe Falls Covenant Commission.</w:t>
      </w:r>
    </w:p>
    <w:p w:rsidR="000C777D" w:rsidRPr="00C374D1" w:rsidRDefault="000C777D" w:rsidP="00206116">
      <w:pPr>
        <w:pStyle w:val="Heading2"/>
      </w:pPr>
      <w:bookmarkStart w:id="6" w:name="_Toc17190580"/>
      <w:r w:rsidRPr="00C374D1">
        <w:t>Sale of Real Property</w:t>
      </w:r>
      <w:bookmarkEnd w:id="6"/>
      <w:r w:rsidR="00D0392F" w:rsidRPr="00C374D1">
        <w:t xml:space="preserve"> </w:t>
      </w:r>
    </w:p>
    <w:p w:rsidR="000C777D" w:rsidRPr="00C374D1" w:rsidRDefault="004D7B1B" w:rsidP="00302983">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When a community of faith has received consent to sell property,</w:t>
      </w:r>
      <w:r w:rsidR="000C777D" w:rsidRPr="00C374D1">
        <w:rPr>
          <w:rFonts w:eastAsia="Times New Roman" w:cstheme="minorHAnsi"/>
          <w:color w:val="000000"/>
          <w:sz w:val="24"/>
          <w:szCs w:val="24"/>
          <w:lang w:eastAsia="en-CA"/>
        </w:rPr>
        <w:t xml:space="preserve"> Antler River Watershed Regional Council will normally request that the net proceeds from the sale of real property be held as a restricted fund</w:t>
      </w:r>
      <w:r w:rsidRPr="00C374D1">
        <w:rPr>
          <w:rFonts w:eastAsia="Times New Roman" w:cstheme="minorHAnsi"/>
          <w:color w:val="000000"/>
          <w:sz w:val="24"/>
          <w:szCs w:val="24"/>
          <w:lang w:eastAsia="en-CA"/>
        </w:rPr>
        <w:t>.  The community of faith will have access to</w:t>
      </w:r>
      <w:r w:rsidR="000C777D" w:rsidRPr="00C374D1">
        <w:rPr>
          <w:rFonts w:eastAsia="Times New Roman" w:cstheme="minorHAnsi"/>
          <w:color w:val="000000"/>
          <w:sz w:val="24"/>
          <w:szCs w:val="24"/>
          <w:lang w:eastAsia="en-CA"/>
        </w:rPr>
        <w:t xml:space="preserve"> </w:t>
      </w:r>
      <w:r w:rsidRPr="00C374D1">
        <w:rPr>
          <w:rFonts w:eastAsia="Times New Roman" w:cstheme="minorHAnsi"/>
          <w:color w:val="000000"/>
          <w:sz w:val="24"/>
          <w:szCs w:val="24"/>
          <w:lang w:eastAsia="en-CA"/>
        </w:rPr>
        <w:t>the interest</w:t>
      </w:r>
      <w:r w:rsidR="000C777D" w:rsidRPr="00C374D1">
        <w:rPr>
          <w:rFonts w:eastAsia="Times New Roman" w:cstheme="minorHAnsi"/>
          <w:color w:val="000000"/>
          <w:sz w:val="24"/>
          <w:szCs w:val="24"/>
          <w:lang w:eastAsia="en-CA"/>
        </w:rPr>
        <w:t xml:space="preserve"> available </w:t>
      </w:r>
      <w:r w:rsidRPr="00C374D1">
        <w:rPr>
          <w:rFonts w:eastAsia="Times New Roman" w:cstheme="minorHAnsi"/>
          <w:color w:val="000000"/>
          <w:sz w:val="24"/>
          <w:szCs w:val="24"/>
          <w:lang w:eastAsia="en-CA"/>
        </w:rPr>
        <w:t xml:space="preserve">from the investment </w:t>
      </w:r>
      <w:r w:rsidR="000C777D" w:rsidRPr="00C374D1">
        <w:rPr>
          <w:rFonts w:eastAsia="Times New Roman" w:cstheme="minorHAnsi"/>
          <w:color w:val="000000"/>
          <w:sz w:val="24"/>
          <w:szCs w:val="24"/>
          <w:lang w:eastAsia="en-CA"/>
        </w:rPr>
        <w:t xml:space="preserve">without </w:t>
      </w:r>
      <w:r w:rsidRPr="00C374D1">
        <w:rPr>
          <w:rFonts w:eastAsia="Times New Roman" w:cstheme="minorHAnsi"/>
          <w:color w:val="000000"/>
          <w:sz w:val="24"/>
          <w:szCs w:val="24"/>
          <w:lang w:eastAsia="en-CA"/>
        </w:rPr>
        <w:t>requiring</w:t>
      </w:r>
      <w:r w:rsidR="000C777D" w:rsidRPr="00C374D1">
        <w:rPr>
          <w:rFonts w:eastAsia="Times New Roman" w:cstheme="minorHAnsi"/>
          <w:color w:val="000000"/>
          <w:sz w:val="24"/>
          <w:szCs w:val="24"/>
          <w:lang w:eastAsia="en-CA"/>
        </w:rPr>
        <w:t xml:space="preserve"> regional council approval.</w:t>
      </w:r>
      <w:r w:rsidRPr="00C374D1">
        <w:rPr>
          <w:rFonts w:eastAsia="Times New Roman" w:cstheme="minorHAnsi"/>
          <w:color w:val="000000"/>
          <w:sz w:val="24"/>
          <w:szCs w:val="24"/>
          <w:lang w:eastAsia="en-CA"/>
        </w:rPr>
        <w:t xml:space="preserve">  At any time the community of faith can submit a proposal to the Covenant Co</w:t>
      </w:r>
      <w:r w:rsidR="00D0392F" w:rsidRPr="00C374D1">
        <w:rPr>
          <w:rFonts w:eastAsia="Times New Roman" w:cstheme="minorHAnsi"/>
          <w:color w:val="000000"/>
          <w:sz w:val="24"/>
          <w:szCs w:val="24"/>
          <w:lang w:eastAsia="en-CA"/>
        </w:rPr>
        <w:t>mmission to use a portion of</w:t>
      </w:r>
      <w:r w:rsidRPr="00C374D1">
        <w:rPr>
          <w:rFonts w:eastAsia="Times New Roman" w:cstheme="minorHAnsi"/>
          <w:color w:val="000000"/>
          <w:sz w:val="24"/>
          <w:szCs w:val="24"/>
          <w:lang w:eastAsia="en-CA"/>
        </w:rPr>
        <w:t xml:space="preserve"> the principle for a </w:t>
      </w:r>
      <w:r w:rsidR="00D0392F" w:rsidRPr="00C374D1">
        <w:rPr>
          <w:rFonts w:eastAsia="Times New Roman" w:cstheme="minorHAnsi"/>
          <w:color w:val="000000"/>
          <w:sz w:val="24"/>
          <w:szCs w:val="24"/>
          <w:lang w:eastAsia="en-CA"/>
        </w:rPr>
        <w:t xml:space="preserve">specific </w:t>
      </w:r>
      <w:r w:rsidRPr="00C374D1">
        <w:rPr>
          <w:rFonts w:eastAsia="Times New Roman" w:cstheme="minorHAnsi"/>
          <w:color w:val="000000"/>
          <w:sz w:val="24"/>
          <w:szCs w:val="24"/>
          <w:lang w:eastAsia="en-CA"/>
        </w:rPr>
        <w:t xml:space="preserve">ministry initiative.  </w:t>
      </w:r>
    </w:p>
    <w:p w:rsidR="000C777D" w:rsidRPr="00C374D1" w:rsidRDefault="000C777D" w:rsidP="00206116">
      <w:pPr>
        <w:pStyle w:val="Heading2"/>
      </w:pPr>
      <w:bookmarkStart w:id="7" w:name="_Toc17190581"/>
      <w:r w:rsidRPr="00302983">
        <w:t>Amalgamation</w:t>
      </w:r>
      <w:bookmarkEnd w:id="7"/>
      <w:r w:rsidR="00D0392F" w:rsidRPr="00C374D1">
        <w:t xml:space="preserve"> </w:t>
      </w:r>
    </w:p>
    <w:p w:rsidR="00D0392F" w:rsidRPr="00C374D1" w:rsidRDefault="00D0392F" w:rsidP="00302983">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When a community of faith is amalgamating with another congregation, the net proceeds of any property that is sold, and all assets will not be declared surplus and will become the property of the newly amalgamated community of faith.  The provision that the proceeds from the sale of property be held as a restricted fund will apply.  The new community of faith will have access to the interest available from the investment without requiring regional council approval.  At any time the community of faith can submit a proposal to the Covenant Commission to use a portion of the principle for a specific ministry initiative.  </w:t>
      </w:r>
    </w:p>
    <w:p w:rsidR="00300537" w:rsidRDefault="00300537">
      <w:pPr>
        <w:rPr>
          <w:rFonts w:asciiTheme="majorHAnsi" w:hAnsiTheme="majorHAnsi"/>
          <w:b/>
          <w:color w:val="2E74B5" w:themeColor="accent1" w:themeShade="BF"/>
          <w:sz w:val="26"/>
          <w:szCs w:val="26"/>
        </w:rPr>
      </w:pPr>
      <w:r>
        <w:br w:type="page"/>
      </w:r>
    </w:p>
    <w:p w:rsidR="000C777D" w:rsidRPr="00C374D1" w:rsidRDefault="000C777D" w:rsidP="00206116">
      <w:pPr>
        <w:pStyle w:val="Heading2"/>
      </w:pPr>
      <w:bookmarkStart w:id="8" w:name="_Toc17190582"/>
      <w:r w:rsidRPr="00206116">
        <w:lastRenderedPageBreak/>
        <w:t>Disbanding</w:t>
      </w:r>
      <w:bookmarkEnd w:id="8"/>
    </w:p>
    <w:p w:rsidR="00D0392F" w:rsidRDefault="00D0392F" w:rsidP="00E12470">
      <w:pPr>
        <w:spacing w:before="120" w:after="120" w:line="240" w:lineRule="auto"/>
        <w:rPr>
          <w:rFonts w:eastAsia="Times New Roman" w:cstheme="minorHAnsi"/>
          <w:color w:val="000000"/>
          <w:sz w:val="24"/>
          <w:szCs w:val="24"/>
          <w:lang w:eastAsia="en-CA"/>
        </w:rPr>
      </w:pPr>
      <w:r w:rsidRPr="00C374D1">
        <w:rPr>
          <w:rFonts w:eastAsia="Times New Roman" w:cstheme="minorHAnsi"/>
          <w:color w:val="000000"/>
          <w:sz w:val="24"/>
          <w:szCs w:val="24"/>
          <w:lang w:eastAsia="en-CA"/>
        </w:rPr>
        <w:t xml:space="preserve">When a community of faith has decided to disband, the total funds, including proceeds from the sale of property and chattels will be disbursed in the following manner:  </w:t>
      </w:r>
    </w:p>
    <w:p w:rsidR="00E12470" w:rsidRPr="00C374D1" w:rsidRDefault="00E12470" w:rsidP="00E12470">
      <w:pPr>
        <w:spacing w:before="120" w:after="12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First:</w:t>
      </w:r>
    </w:p>
    <w:p w:rsidR="000C777D"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Reimbursement of holding/maintenance/disposal costs</w:t>
      </w:r>
    </w:p>
    <w:p w:rsidR="000C777D"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Covering unpaid past assessments and current year assessment</w:t>
      </w:r>
    </w:p>
    <w:p w:rsidR="000C777D"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Repaying any congregational indebtedness</w:t>
      </w:r>
    </w:p>
    <w:p w:rsidR="00E12470" w:rsidRPr="00E12470" w:rsidRDefault="00E12470" w:rsidP="00E12470">
      <w:pPr>
        <w:spacing w:before="120" w:after="12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Then:</w:t>
      </w:r>
    </w:p>
    <w:p w:rsidR="000C777D"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33% for the congregation to direct to United Church of Canada ministries such as neighbouring congregations, United Church outreach ministries, United Church camps, United Church extension councils, The United Church of Canada Foundation or any of the following:</w:t>
      </w:r>
    </w:p>
    <w:p w:rsidR="000C777D"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15% designated for Indigenous ministries</w:t>
      </w:r>
    </w:p>
    <w:p w:rsidR="000C777D"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12.5% designated for Mission and Service (current year)</w:t>
      </w:r>
    </w:p>
    <w:p w:rsidR="000C777D"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12.5% designated for Mission and Service Endowment Fund</w:t>
      </w:r>
    </w:p>
    <w:p w:rsidR="00D0392F"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2% designated for Archives</w:t>
      </w:r>
    </w:p>
    <w:p w:rsidR="000C777D" w:rsidRPr="00C374D1" w:rsidRDefault="000C777D" w:rsidP="00E12470">
      <w:pPr>
        <w:pStyle w:val="ListParagraph"/>
        <w:numPr>
          <w:ilvl w:val="0"/>
          <w:numId w:val="8"/>
        </w:numPr>
        <w:spacing w:after="60" w:line="240" w:lineRule="auto"/>
        <w:ind w:left="714" w:hanging="357"/>
        <w:contextualSpacing w:val="0"/>
        <w:rPr>
          <w:rFonts w:eastAsia="Times New Roman" w:cstheme="minorHAnsi"/>
          <w:color w:val="000000"/>
          <w:sz w:val="24"/>
          <w:szCs w:val="24"/>
          <w:lang w:eastAsia="en-CA"/>
        </w:rPr>
      </w:pPr>
      <w:r w:rsidRPr="00C374D1">
        <w:rPr>
          <w:rFonts w:eastAsia="Times New Roman" w:cstheme="minorHAnsi"/>
          <w:color w:val="000000"/>
          <w:sz w:val="24"/>
          <w:szCs w:val="24"/>
          <w:lang w:eastAsia="en-CA"/>
        </w:rPr>
        <w:t>25% designated for regional council</w:t>
      </w:r>
    </w:p>
    <w:p w:rsidR="000C777D" w:rsidRPr="00C374D1" w:rsidRDefault="00D0392F" w:rsidP="00E12470">
      <w:pPr>
        <w:spacing w:before="120" w:after="120" w:line="240" w:lineRule="auto"/>
        <w:rPr>
          <w:rFonts w:cstheme="minorHAnsi"/>
          <w:bCs/>
          <w:sz w:val="24"/>
          <w:szCs w:val="24"/>
          <w:lang w:val="en-US"/>
        </w:rPr>
      </w:pPr>
      <w:r w:rsidRPr="00C374D1">
        <w:rPr>
          <w:rFonts w:eastAsia="Times New Roman" w:cstheme="minorHAnsi"/>
          <w:color w:val="000000"/>
          <w:sz w:val="24"/>
          <w:szCs w:val="24"/>
          <w:lang w:eastAsia="en-CA"/>
        </w:rPr>
        <w:t xml:space="preserve">It should also be noted that: </w:t>
      </w:r>
      <w:r w:rsidR="000C777D" w:rsidRPr="00C374D1">
        <w:rPr>
          <w:rFonts w:cstheme="minorHAnsi"/>
          <w:bCs/>
          <w:sz w:val="24"/>
          <w:szCs w:val="24"/>
          <w:lang w:val="en-US"/>
        </w:rPr>
        <w:t>“A congregation may give an amount equal to the percentage of its previous year’s revenue that was donated to a non-United Church registered charity to that charity.”</w:t>
      </w:r>
    </w:p>
    <w:p w:rsidR="00D0392F" w:rsidRPr="00C374D1" w:rsidRDefault="00D0392F" w:rsidP="00E12470">
      <w:pPr>
        <w:spacing w:before="120" w:after="120" w:line="240" w:lineRule="auto"/>
        <w:rPr>
          <w:rFonts w:cstheme="minorHAnsi"/>
          <w:sz w:val="24"/>
          <w:szCs w:val="24"/>
        </w:rPr>
      </w:pPr>
      <w:r w:rsidRPr="00C374D1">
        <w:rPr>
          <w:rFonts w:cstheme="minorHAnsi"/>
          <w:bCs/>
          <w:sz w:val="24"/>
          <w:szCs w:val="24"/>
          <w:lang w:val="en-US"/>
        </w:rPr>
        <w:t>For example:  If</w:t>
      </w:r>
      <w:r w:rsidR="001B06C3" w:rsidRPr="00C374D1">
        <w:rPr>
          <w:rFonts w:cstheme="minorHAnsi"/>
          <w:bCs/>
          <w:sz w:val="24"/>
          <w:szCs w:val="24"/>
          <w:lang w:val="en-US"/>
        </w:rPr>
        <w:t>,</w:t>
      </w:r>
      <w:r w:rsidRPr="00C374D1">
        <w:rPr>
          <w:rFonts w:cstheme="minorHAnsi"/>
          <w:bCs/>
          <w:sz w:val="24"/>
          <w:szCs w:val="24"/>
          <w:lang w:val="en-US"/>
        </w:rPr>
        <w:t xml:space="preserve"> in the previous year</w:t>
      </w:r>
      <w:r w:rsidR="001B06C3" w:rsidRPr="00C374D1">
        <w:rPr>
          <w:rFonts w:cstheme="minorHAnsi"/>
          <w:bCs/>
          <w:sz w:val="24"/>
          <w:szCs w:val="24"/>
          <w:lang w:val="en-US"/>
        </w:rPr>
        <w:t>,</w:t>
      </w:r>
      <w:r w:rsidRPr="00C374D1">
        <w:rPr>
          <w:rFonts w:cstheme="minorHAnsi"/>
          <w:bCs/>
          <w:sz w:val="24"/>
          <w:szCs w:val="24"/>
          <w:lang w:val="en-US"/>
        </w:rPr>
        <w:t xml:space="preserve"> the congregation gave </w:t>
      </w:r>
      <w:r w:rsidR="001B06C3" w:rsidRPr="00C374D1">
        <w:rPr>
          <w:rFonts w:cstheme="minorHAnsi"/>
          <w:bCs/>
          <w:sz w:val="24"/>
          <w:szCs w:val="24"/>
          <w:lang w:val="en-US"/>
        </w:rPr>
        <w:t xml:space="preserve">X dollars to the local hospice, and this was equal to 1% of that year’s revenue, then they may direct 1% of the closing funds to the same hospice.  This 1% is to be taken from the 33% being directed by the congregation.  </w:t>
      </w:r>
    </w:p>
    <w:p w:rsidR="00C65E7A" w:rsidRPr="00C374D1" w:rsidRDefault="003476F0" w:rsidP="00546711">
      <w:pPr>
        <w:pStyle w:val="Heading1"/>
      </w:pPr>
      <w:bookmarkStart w:id="9" w:name="_Toc17190583"/>
      <w:r w:rsidRPr="00C374D1">
        <w:t>Sale of C</w:t>
      </w:r>
      <w:r w:rsidR="0058051B" w:rsidRPr="00C374D1">
        <w:t>ongregational</w:t>
      </w:r>
      <w:r w:rsidRPr="00C374D1">
        <w:t xml:space="preserve"> Property</w:t>
      </w:r>
      <w:r w:rsidR="008F7BC0" w:rsidRPr="00C374D1">
        <w:t xml:space="preserve"> – Basic Steps</w:t>
      </w:r>
      <w:bookmarkEnd w:id="9"/>
    </w:p>
    <w:p w:rsidR="003476F0" w:rsidRPr="00C374D1" w:rsidRDefault="00BD769D" w:rsidP="00E12470">
      <w:pPr>
        <w:spacing w:before="120" w:after="120"/>
        <w:rPr>
          <w:rFonts w:cstheme="minorHAnsi"/>
          <w:sz w:val="24"/>
          <w:szCs w:val="24"/>
        </w:rPr>
      </w:pPr>
      <w:r w:rsidRPr="00C374D1">
        <w:rPr>
          <w:rFonts w:cstheme="minorHAnsi"/>
          <w:sz w:val="24"/>
          <w:szCs w:val="24"/>
        </w:rPr>
        <w:t>(</w:t>
      </w:r>
      <w:r w:rsidR="008F7BC0" w:rsidRPr="00C374D1">
        <w:rPr>
          <w:rFonts w:cstheme="minorHAnsi"/>
          <w:sz w:val="24"/>
          <w:szCs w:val="24"/>
        </w:rPr>
        <w:t>Based on the Manual 2019</w:t>
      </w:r>
      <w:r w:rsidRPr="00C374D1">
        <w:rPr>
          <w:rFonts w:cstheme="minorHAnsi"/>
          <w:sz w:val="24"/>
          <w:szCs w:val="24"/>
        </w:rPr>
        <w:t xml:space="preserve"> Section G.2. and Board of Trustees Handbook)</w:t>
      </w:r>
    </w:p>
    <w:p w:rsidR="003476F0" w:rsidRPr="00C374D1" w:rsidRDefault="003476F0" w:rsidP="00E12470">
      <w:pPr>
        <w:pStyle w:val="ListParagraph"/>
        <w:numPr>
          <w:ilvl w:val="0"/>
          <w:numId w:val="2"/>
        </w:numPr>
        <w:spacing w:before="120" w:after="120"/>
        <w:contextualSpacing w:val="0"/>
        <w:rPr>
          <w:rFonts w:cstheme="minorHAnsi"/>
          <w:sz w:val="24"/>
          <w:szCs w:val="24"/>
        </w:rPr>
      </w:pPr>
      <w:r w:rsidRPr="00C374D1">
        <w:rPr>
          <w:rFonts w:cstheme="minorHAnsi"/>
          <w:sz w:val="24"/>
          <w:szCs w:val="24"/>
        </w:rPr>
        <w:t>The governing body decides to sell a piece of property</w:t>
      </w:r>
    </w:p>
    <w:p w:rsidR="003476F0" w:rsidRPr="00E12470" w:rsidRDefault="003476F0" w:rsidP="00E12470">
      <w:pPr>
        <w:pStyle w:val="ListParagraph"/>
        <w:numPr>
          <w:ilvl w:val="0"/>
          <w:numId w:val="2"/>
        </w:numPr>
        <w:spacing w:before="120" w:after="120"/>
        <w:contextualSpacing w:val="0"/>
        <w:rPr>
          <w:rFonts w:cstheme="minorHAnsi"/>
          <w:sz w:val="24"/>
          <w:szCs w:val="24"/>
        </w:rPr>
      </w:pPr>
      <w:r w:rsidRPr="00E12470">
        <w:rPr>
          <w:rFonts w:cstheme="minorHAnsi"/>
          <w:sz w:val="24"/>
          <w:szCs w:val="24"/>
        </w:rPr>
        <w:t>The governing body consults with the Regional Council (Covenant Commission) on how the congregation will use any proceeds from the sale</w:t>
      </w:r>
      <w:r w:rsidR="00397BE7" w:rsidRPr="00E12470">
        <w:rPr>
          <w:rFonts w:cstheme="minorHAnsi"/>
          <w:sz w:val="24"/>
          <w:szCs w:val="24"/>
        </w:rPr>
        <w:t>, after costs for the transaction have been covered.</w:t>
      </w:r>
      <w:r w:rsidR="00BD769D" w:rsidRPr="00E12470">
        <w:rPr>
          <w:rFonts w:cstheme="minorHAnsi"/>
          <w:sz w:val="24"/>
          <w:szCs w:val="24"/>
        </w:rPr>
        <w:t xml:space="preserve">  </w:t>
      </w:r>
    </w:p>
    <w:p w:rsidR="004372B7" w:rsidRPr="00C374D1" w:rsidRDefault="003476F0" w:rsidP="00E12470">
      <w:pPr>
        <w:pStyle w:val="ListParagraph"/>
        <w:numPr>
          <w:ilvl w:val="0"/>
          <w:numId w:val="2"/>
        </w:numPr>
        <w:spacing w:before="120" w:after="120"/>
        <w:contextualSpacing w:val="0"/>
        <w:rPr>
          <w:rFonts w:cstheme="minorHAnsi"/>
          <w:sz w:val="24"/>
          <w:szCs w:val="24"/>
        </w:rPr>
      </w:pPr>
      <w:r w:rsidRPr="00C374D1">
        <w:rPr>
          <w:rFonts w:cstheme="minorHAnsi"/>
          <w:sz w:val="24"/>
          <w:szCs w:val="24"/>
        </w:rPr>
        <w:t xml:space="preserve">The trustees </w:t>
      </w:r>
      <w:r w:rsidR="00397BE7" w:rsidRPr="00C374D1">
        <w:rPr>
          <w:rFonts w:cstheme="minorHAnsi"/>
          <w:sz w:val="24"/>
          <w:szCs w:val="24"/>
        </w:rPr>
        <w:t xml:space="preserve">are directed to sell the property.  </w:t>
      </w:r>
    </w:p>
    <w:p w:rsidR="00E24368" w:rsidRPr="00C374D1" w:rsidRDefault="00416E7E" w:rsidP="00E12470">
      <w:pPr>
        <w:pStyle w:val="ListParagraph"/>
        <w:numPr>
          <w:ilvl w:val="0"/>
          <w:numId w:val="2"/>
        </w:numPr>
        <w:spacing w:before="120" w:after="120"/>
        <w:contextualSpacing w:val="0"/>
        <w:rPr>
          <w:rFonts w:cstheme="minorHAnsi"/>
          <w:sz w:val="24"/>
          <w:szCs w:val="24"/>
        </w:rPr>
      </w:pPr>
      <w:r w:rsidRPr="00C374D1">
        <w:rPr>
          <w:rFonts w:cstheme="minorHAnsi"/>
          <w:sz w:val="24"/>
          <w:szCs w:val="24"/>
        </w:rPr>
        <w:t>The Board of Trustees holds a special meeting (8 days notice, hand-delivered or mailed to each Trustee</w:t>
      </w:r>
      <w:r w:rsidR="004372B7" w:rsidRPr="00C374D1">
        <w:rPr>
          <w:rFonts w:cstheme="minorHAnsi"/>
          <w:color w:val="000000"/>
          <w:sz w:val="24"/>
          <w:szCs w:val="24"/>
        </w:rPr>
        <w:t xml:space="preserve"> specifying the time, place, and purpose of</w:t>
      </w:r>
      <w:r w:rsidR="00BA0295" w:rsidRPr="00C374D1">
        <w:rPr>
          <w:rFonts w:cstheme="minorHAnsi"/>
          <w:color w:val="000000"/>
          <w:sz w:val="24"/>
          <w:szCs w:val="24"/>
        </w:rPr>
        <w:t xml:space="preserve"> the meeting) </w:t>
      </w:r>
      <w:r w:rsidRPr="00C374D1">
        <w:rPr>
          <w:rFonts w:cstheme="minorHAnsi"/>
          <w:sz w:val="24"/>
          <w:szCs w:val="24"/>
        </w:rPr>
        <w:t>and pass a motion</w:t>
      </w:r>
      <w:r w:rsidR="00BA0295" w:rsidRPr="00C374D1">
        <w:rPr>
          <w:rFonts w:cstheme="minorHAnsi"/>
          <w:sz w:val="24"/>
          <w:szCs w:val="24"/>
        </w:rPr>
        <w:t xml:space="preserve"> requesting</w:t>
      </w:r>
      <w:r w:rsidRPr="00C374D1">
        <w:rPr>
          <w:rFonts w:cstheme="minorHAnsi"/>
          <w:sz w:val="24"/>
          <w:szCs w:val="24"/>
        </w:rPr>
        <w:t xml:space="preserve"> regional council </w:t>
      </w:r>
      <w:r w:rsidR="00BA0295" w:rsidRPr="00C374D1">
        <w:rPr>
          <w:rFonts w:cstheme="minorHAnsi"/>
          <w:sz w:val="24"/>
          <w:szCs w:val="24"/>
        </w:rPr>
        <w:t>consent to sell the property</w:t>
      </w:r>
      <w:r w:rsidRPr="00C374D1">
        <w:rPr>
          <w:rFonts w:cstheme="minorHAnsi"/>
          <w:sz w:val="24"/>
          <w:szCs w:val="24"/>
        </w:rPr>
        <w:t>.  The template for the motion is found in Appendix A</w:t>
      </w:r>
      <w:r w:rsidR="007702F7" w:rsidRPr="00C374D1">
        <w:rPr>
          <w:rFonts w:cstheme="minorHAnsi"/>
          <w:sz w:val="24"/>
          <w:szCs w:val="24"/>
        </w:rPr>
        <w:t>; Property Resolution Trustees.</w:t>
      </w:r>
      <w:r w:rsidR="00E24368" w:rsidRPr="00C374D1">
        <w:rPr>
          <w:rFonts w:cstheme="minorHAnsi"/>
          <w:sz w:val="24"/>
          <w:szCs w:val="24"/>
        </w:rPr>
        <w:t xml:space="preserve"> If the plan is to list the property for sale the following details are required: </w:t>
      </w:r>
    </w:p>
    <w:p w:rsidR="00E24368" w:rsidRPr="00C374D1" w:rsidRDefault="00E24368" w:rsidP="00E12470">
      <w:pPr>
        <w:pStyle w:val="ListParagraph"/>
        <w:numPr>
          <w:ilvl w:val="0"/>
          <w:numId w:val="14"/>
        </w:numPr>
        <w:spacing w:after="60"/>
        <w:contextualSpacing w:val="0"/>
        <w:rPr>
          <w:rFonts w:cstheme="minorHAnsi"/>
          <w:sz w:val="24"/>
          <w:szCs w:val="24"/>
        </w:rPr>
      </w:pPr>
      <w:r w:rsidRPr="00C374D1">
        <w:rPr>
          <w:rFonts w:cstheme="minorHAnsi"/>
          <w:sz w:val="24"/>
          <w:szCs w:val="24"/>
        </w:rPr>
        <w:t>listing agent;</w:t>
      </w:r>
    </w:p>
    <w:p w:rsidR="00E24368" w:rsidRPr="00C374D1" w:rsidRDefault="00E24368" w:rsidP="00E12470">
      <w:pPr>
        <w:pStyle w:val="ListParagraph"/>
        <w:numPr>
          <w:ilvl w:val="0"/>
          <w:numId w:val="14"/>
        </w:numPr>
        <w:spacing w:after="60"/>
        <w:contextualSpacing w:val="0"/>
        <w:rPr>
          <w:rFonts w:cstheme="minorHAnsi"/>
          <w:sz w:val="24"/>
          <w:szCs w:val="24"/>
        </w:rPr>
      </w:pPr>
      <w:r w:rsidRPr="00C374D1">
        <w:rPr>
          <w:rFonts w:cstheme="minorHAnsi"/>
          <w:sz w:val="24"/>
          <w:szCs w:val="24"/>
        </w:rPr>
        <w:lastRenderedPageBreak/>
        <w:t>any exceptions;</w:t>
      </w:r>
    </w:p>
    <w:p w:rsidR="00E24368" w:rsidRPr="00C374D1" w:rsidRDefault="00E24368" w:rsidP="00E12470">
      <w:pPr>
        <w:pStyle w:val="ListParagraph"/>
        <w:numPr>
          <w:ilvl w:val="0"/>
          <w:numId w:val="14"/>
        </w:numPr>
        <w:spacing w:after="60"/>
        <w:contextualSpacing w:val="0"/>
        <w:rPr>
          <w:rFonts w:cstheme="minorHAnsi"/>
          <w:sz w:val="24"/>
          <w:szCs w:val="24"/>
        </w:rPr>
      </w:pPr>
      <w:r w:rsidRPr="00C374D1">
        <w:rPr>
          <w:rFonts w:cstheme="minorHAnsi"/>
          <w:sz w:val="24"/>
          <w:szCs w:val="24"/>
        </w:rPr>
        <w:t xml:space="preserve">commission rate; </w:t>
      </w:r>
    </w:p>
    <w:p w:rsidR="00E24368" w:rsidRPr="00C374D1" w:rsidRDefault="00E24368" w:rsidP="00E12470">
      <w:pPr>
        <w:pStyle w:val="ListParagraph"/>
        <w:numPr>
          <w:ilvl w:val="0"/>
          <w:numId w:val="14"/>
        </w:numPr>
        <w:spacing w:after="60"/>
        <w:contextualSpacing w:val="0"/>
        <w:rPr>
          <w:rFonts w:cstheme="minorHAnsi"/>
          <w:sz w:val="24"/>
          <w:szCs w:val="24"/>
        </w:rPr>
      </w:pPr>
      <w:r w:rsidRPr="00C374D1">
        <w:rPr>
          <w:rFonts w:cstheme="minorHAnsi"/>
          <w:sz w:val="24"/>
          <w:szCs w:val="24"/>
        </w:rPr>
        <w:t>asking price;</w:t>
      </w:r>
    </w:p>
    <w:p w:rsidR="00E24368" w:rsidRPr="00C374D1" w:rsidRDefault="00E24368" w:rsidP="00E12470">
      <w:pPr>
        <w:pStyle w:val="ListParagraph"/>
        <w:numPr>
          <w:ilvl w:val="0"/>
          <w:numId w:val="14"/>
        </w:numPr>
        <w:spacing w:after="60"/>
        <w:contextualSpacing w:val="0"/>
        <w:rPr>
          <w:rFonts w:cstheme="minorHAnsi"/>
          <w:sz w:val="24"/>
          <w:szCs w:val="24"/>
        </w:rPr>
      </w:pPr>
      <w:proofErr w:type="gramStart"/>
      <w:r w:rsidRPr="00C374D1">
        <w:rPr>
          <w:rFonts w:cstheme="minorHAnsi"/>
          <w:sz w:val="24"/>
          <w:szCs w:val="24"/>
        </w:rPr>
        <w:t>proposed</w:t>
      </w:r>
      <w:proofErr w:type="gramEnd"/>
      <w:r w:rsidRPr="00C374D1">
        <w:rPr>
          <w:rFonts w:cstheme="minorHAnsi"/>
          <w:sz w:val="24"/>
          <w:szCs w:val="24"/>
        </w:rPr>
        <w:t xml:space="preserve"> possession date.  </w:t>
      </w:r>
    </w:p>
    <w:p w:rsidR="00E24368" w:rsidRPr="00C374D1" w:rsidRDefault="00E24368" w:rsidP="00E12470">
      <w:pPr>
        <w:spacing w:before="120" w:after="120"/>
        <w:ind w:left="720"/>
        <w:rPr>
          <w:rFonts w:cstheme="minorHAnsi"/>
          <w:sz w:val="24"/>
          <w:szCs w:val="24"/>
        </w:rPr>
      </w:pPr>
      <w:r w:rsidRPr="00C374D1">
        <w:rPr>
          <w:rFonts w:cstheme="minorHAnsi"/>
          <w:sz w:val="24"/>
          <w:szCs w:val="24"/>
        </w:rPr>
        <w:t xml:space="preserve">If the Trustees wish to use another method for selling the property, these details must also be provided.  </w:t>
      </w:r>
    </w:p>
    <w:p w:rsidR="00E24368" w:rsidRPr="00C374D1" w:rsidRDefault="00E24368" w:rsidP="00E12470">
      <w:pPr>
        <w:pStyle w:val="NormalWeb"/>
        <w:numPr>
          <w:ilvl w:val="0"/>
          <w:numId w:val="2"/>
        </w:numPr>
        <w:spacing w:before="120" w:after="120"/>
        <w:rPr>
          <w:rFonts w:asciiTheme="minorHAnsi" w:hAnsiTheme="minorHAnsi" w:cstheme="minorHAnsi"/>
          <w:color w:val="000000"/>
        </w:rPr>
      </w:pPr>
      <w:r w:rsidRPr="00C374D1">
        <w:rPr>
          <w:rFonts w:asciiTheme="minorHAnsi" w:hAnsiTheme="minorHAnsi" w:cstheme="minorHAnsi"/>
          <w:color w:val="000000"/>
        </w:rPr>
        <w:t>The resolution should be entered in full in the minutes of the Board of Trustees.</w:t>
      </w:r>
    </w:p>
    <w:p w:rsidR="00BD769D" w:rsidRPr="00C374D1" w:rsidRDefault="00416E7E" w:rsidP="00E12470">
      <w:pPr>
        <w:pStyle w:val="ListParagraph"/>
        <w:numPr>
          <w:ilvl w:val="0"/>
          <w:numId w:val="2"/>
        </w:numPr>
        <w:spacing w:before="120" w:after="120"/>
        <w:contextualSpacing w:val="0"/>
        <w:rPr>
          <w:rFonts w:cstheme="minorHAnsi"/>
          <w:sz w:val="24"/>
          <w:szCs w:val="24"/>
        </w:rPr>
      </w:pPr>
      <w:r w:rsidRPr="00C374D1">
        <w:rPr>
          <w:rFonts w:cstheme="minorHAnsi"/>
          <w:sz w:val="24"/>
          <w:szCs w:val="24"/>
        </w:rPr>
        <w:t xml:space="preserve">The </w:t>
      </w:r>
      <w:r w:rsidR="007702F7" w:rsidRPr="00C374D1">
        <w:rPr>
          <w:rFonts w:cstheme="minorHAnsi"/>
          <w:sz w:val="24"/>
          <w:szCs w:val="24"/>
        </w:rPr>
        <w:t>property resolution</w:t>
      </w:r>
      <w:r w:rsidRPr="00C374D1">
        <w:rPr>
          <w:rFonts w:cstheme="minorHAnsi"/>
          <w:sz w:val="24"/>
          <w:szCs w:val="24"/>
        </w:rPr>
        <w:t xml:space="preserve"> is forwarded to the Covenant Commission of Antler River Watershed Regional Council.  </w:t>
      </w:r>
    </w:p>
    <w:p w:rsidR="00BA0295" w:rsidRPr="00C374D1" w:rsidRDefault="00BA0295" w:rsidP="00E12470">
      <w:pPr>
        <w:pStyle w:val="ListParagraph"/>
        <w:numPr>
          <w:ilvl w:val="0"/>
          <w:numId w:val="2"/>
        </w:numPr>
        <w:spacing w:before="120" w:after="120"/>
        <w:contextualSpacing w:val="0"/>
        <w:rPr>
          <w:rFonts w:cstheme="minorHAnsi"/>
          <w:sz w:val="24"/>
          <w:szCs w:val="24"/>
        </w:rPr>
      </w:pPr>
      <w:r w:rsidRPr="00C374D1">
        <w:rPr>
          <w:rFonts w:cstheme="minorHAnsi"/>
          <w:sz w:val="24"/>
          <w:szCs w:val="24"/>
        </w:rPr>
        <w:t>A proposal for the use of the funds must be submitted with the request to offer the property for sale.  In general, any proceeds from a sale are automatically to be held in trust with the principal preserved and only the interest available to the community of faith.  However, the community of faith can propose to use a portion of the proceeds for a specific ministry initiative.  Additional proposals can be made in the future should the need arise.</w:t>
      </w:r>
    </w:p>
    <w:p w:rsidR="00BA0295" w:rsidRPr="00C374D1" w:rsidRDefault="00EA2A27" w:rsidP="00E12470">
      <w:pPr>
        <w:spacing w:before="120" w:after="120"/>
        <w:ind w:left="720"/>
        <w:rPr>
          <w:rFonts w:cstheme="minorHAnsi"/>
          <w:sz w:val="24"/>
          <w:szCs w:val="24"/>
        </w:rPr>
      </w:pPr>
      <w:r w:rsidRPr="00C374D1">
        <w:rPr>
          <w:rFonts w:cstheme="minorHAnsi"/>
          <w:b/>
          <w:sz w:val="24"/>
          <w:szCs w:val="24"/>
        </w:rPr>
        <w:t>NOTE:</w:t>
      </w:r>
      <w:r w:rsidRPr="00C374D1">
        <w:rPr>
          <w:rFonts w:cstheme="minorHAnsi"/>
          <w:sz w:val="24"/>
          <w:szCs w:val="24"/>
        </w:rPr>
        <w:t xml:space="preserve">  </w:t>
      </w:r>
      <w:r w:rsidR="00BA0295" w:rsidRPr="00C374D1">
        <w:rPr>
          <w:rFonts w:cstheme="minorHAnsi"/>
          <w:sz w:val="24"/>
          <w:szCs w:val="24"/>
        </w:rPr>
        <w:t xml:space="preserve">To ensure the Covenant Commission will be able to respond to a request to accept an offer within the legal time frame.  </w:t>
      </w:r>
      <w:r w:rsidRPr="00C374D1">
        <w:rPr>
          <w:rFonts w:cstheme="minorHAnsi"/>
          <w:sz w:val="24"/>
          <w:szCs w:val="24"/>
        </w:rPr>
        <w:t>Please include</w:t>
      </w:r>
      <w:r w:rsidR="00C66145" w:rsidRPr="00C374D1">
        <w:rPr>
          <w:rFonts w:cstheme="minorHAnsi"/>
          <w:sz w:val="24"/>
          <w:szCs w:val="24"/>
        </w:rPr>
        <w:t xml:space="preserve"> </w:t>
      </w:r>
      <w:r w:rsidR="00BA0295" w:rsidRPr="00C374D1">
        <w:rPr>
          <w:rFonts w:cstheme="minorHAnsi"/>
          <w:sz w:val="24"/>
          <w:szCs w:val="24"/>
        </w:rPr>
        <w:t xml:space="preserve">in the listing terms:  </w:t>
      </w:r>
    </w:p>
    <w:p w:rsidR="00BA0295" w:rsidRPr="00C374D1" w:rsidRDefault="00C66145" w:rsidP="00E12470">
      <w:pPr>
        <w:pStyle w:val="ListParagraph"/>
        <w:numPr>
          <w:ilvl w:val="0"/>
          <w:numId w:val="23"/>
        </w:numPr>
        <w:spacing w:after="60"/>
        <w:contextualSpacing w:val="0"/>
        <w:rPr>
          <w:rFonts w:cstheme="minorHAnsi"/>
          <w:sz w:val="24"/>
          <w:szCs w:val="24"/>
        </w:rPr>
      </w:pPr>
      <w:r w:rsidRPr="00C374D1">
        <w:rPr>
          <w:rFonts w:cstheme="minorHAnsi"/>
          <w:sz w:val="24"/>
          <w:szCs w:val="24"/>
        </w:rPr>
        <w:t xml:space="preserve">“This sale is conditional on the approval of Antler River Watershed Regional Council” and </w:t>
      </w:r>
    </w:p>
    <w:p w:rsidR="00BA0295" w:rsidRPr="00C374D1" w:rsidRDefault="00BA0295" w:rsidP="00E12470">
      <w:pPr>
        <w:pStyle w:val="ListParagraph"/>
        <w:numPr>
          <w:ilvl w:val="0"/>
          <w:numId w:val="23"/>
        </w:numPr>
        <w:spacing w:after="60"/>
        <w:contextualSpacing w:val="0"/>
        <w:rPr>
          <w:rFonts w:cstheme="minorHAnsi"/>
          <w:sz w:val="24"/>
          <w:szCs w:val="24"/>
        </w:rPr>
      </w:pPr>
      <w:r w:rsidRPr="00C374D1">
        <w:rPr>
          <w:rFonts w:cstheme="minorHAnsi"/>
          <w:sz w:val="24"/>
          <w:szCs w:val="24"/>
        </w:rPr>
        <w:t xml:space="preserve">A </w:t>
      </w:r>
      <w:r w:rsidR="00C66145" w:rsidRPr="00C374D1">
        <w:rPr>
          <w:rFonts w:cstheme="minorHAnsi"/>
          <w:sz w:val="24"/>
          <w:szCs w:val="24"/>
        </w:rPr>
        <w:t>provision for a</w:t>
      </w:r>
      <w:r w:rsidR="00EA2A27" w:rsidRPr="00C374D1">
        <w:rPr>
          <w:rFonts w:cstheme="minorHAnsi"/>
          <w:sz w:val="24"/>
          <w:szCs w:val="24"/>
        </w:rPr>
        <w:t xml:space="preserve"> minimum of 7 business days to respond to an offer as a detail in the listing.  </w:t>
      </w:r>
    </w:p>
    <w:p w:rsidR="00397BE7" w:rsidRPr="00C374D1" w:rsidRDefault="00397BE7" w:rsidP="00E12470">
      <w:pPr>
        <w:pStyle w:val="ListParagraph"/>
        <w:numPr>
          <w:ilvl w:val="0"/>
          <w:numId w:val="2"/>
        </w:numPr>
        <w:spacing w:before="120" w:after="120"/>
        <w:contextualSpacing w:val="0"/>
        <w:rPr>
          <w:rFonts w:cstheme="minorHAnsi"/>
          <w:sz w:val="24"/>
          <w:szCs w:val="24"/>
        </w:rPr>
      </w:pPr>
      <w:r w:rsidRPr="00C374D1">
        <w:rPr>
          <w:rFonts w:cstheme="minorHAnsi"/>
          <w:sz w:val="24"/>
          <w:szCs w:val="24"/>
        </w:rPr>
        <w:t>When an offer is received</w:t>
      </w:r>
      <w:r w:rsidR="00BD769D" w:rsidRPr="00C374D1">
        <w:rPr>
          <w:rFonts w:cstheme="minorHAnsi"/>
          <w:sz w:val="24"/>
          <w:szCs w:val="24"/>
        </w:rPr>
        <w:t>,</w:t>
      </w:r>
      <w:r w:rsidRPr="00C374D1">
        <w:rPr>
          <w:rFonts w:cstheme="minorHAnsi"/>
          <w:sz w:val="24"/>
          <w:szCs w:val="24"/>
        </w:rPr>
        <w:t xml:space="preserve"> the Trustees seek approval to accept </w:t>
      </w:r>
      <w:r w:rsidR="00BD769D" w:rsidRPr="00C374D1">
        <w:rPr>
          <w:rFonts w:cstheme="minorHAnsi"/>
          <w:sz w:val="24"/>
          <w:szCs w:val="24"/>
        </w:rPr>
        <w:t>the offer</w:t>
      </w:r>
      <w:r w:rsidRPr="00C374D1">
        <w:rPr>
          <w:rFonts w:cstheme="minorHAnsi"/>
          <w:sz w:val="24"/>
          <w:szCs w:val="24"/>
        </w:rPr>
        <w:t xml:space="preserve"> first </w:t>
      </w:r>
      <w:r w:rsidR="00BD769D" w:rsidRPr="00C374D1">
        <w:rPr>
          <w:rFonts w:cstheme="minorHAnsi"/>
          <w:sz w:val="24"/>
          <w:szCs w:val="24"/>
        </w:rPr>
        <w:t xml:space="preserve">from </w:t>
      </w:r>
      <w:r w:rsidRPr="00C374D1">
        <w:rPr>
          <w:rFonts w:cstheme="minorHAnsi"/>
          <w:sz w:val="24"/>
          <w:szCs w:val="24"/>
        </w:rPr>
        <w:t xml:space="preserve">the governing body and then the Regional Council. </w:t>
      </w:r>
      <w:r w:rsidR="00EA2A27" w:rsidRPr="00C374D1">
        <w:rPr>
          <w:rFonts w:cstheme="minorHAnsi"/>
          <w:sz w:val="24"/>
          <w:szCs w:val="24"/>
        </w:rPr>
        <w:t>All</w:t>
      </w:r>
      <w:r w:rsidRPr="00C374D1">
        <w:rPr>
          <w:rFonts w:cstheme="minorHAnsi"/>
          <w:sz w:val="24"/>
          <w:szCs w:val="24"/>
        </w:rPr>
        <w:t xml:space="preserve"> details and documentation of the transaction</w:t>
      </w:r>
      <w:r w:rsidR="00EA2A27" w:rsidRPr="00C374D1">
        <w:rPr>
          <w:rFonts w:cstheme="minorHAnsi"/>
          <w:sz w:val="24"/>
          <w:szCs w:val="24"/>
        </w:rPr>
        <w:t xml:space="preserve"> </w:t>
      </w:r>
      <w:r w:rsidR="00BD769D" w:rsidRPr="00C374D1">
        <w:rPr>
          <w:rFonts w:cstheme="minorHAnsi"/>
          <w:sz w:val="24"/>
          <w:szCs w:val="24"/>
        </w:rPr>
        <w:t>are to be forwarded</w:t>
      </w:r>
      <w:r w:rsidR="00EA2A27" w:rsidRPr="00C374D1">
        <w:rPr>
          <w:rFonts w:cstheme="minorHAnsi"/>
          <w:sz w:val="24"/>
          <w:szCs w:val="24"/>
        </w:rPr>
        <w:t xml:space="preserve"> to</w:t>
      </w:r>
      <w:r w:rsidRPr="00C374D1">
        <w:rPr>
          <w:rFonts w:cstheme="minorHAnsi"/>
          <w:sz w:val="24"/>
          <w:szCs w:val="24"/>
        </w:rPr>
        <w:t xml:space="preserve"> </w:t>
      </w:r>
      <w:r w:rsidR="00BD769D" w:rsidRPr="00C374D1">
        <w:rPr>
          <w:rFonts w:cstheme="minorHAnsi"/>
          <w:sz w:val="24"/>
          <w:szCs w:val="24"/>
        </w:rPr>
        <w:t xml:space="preserve">the Covenant Commission of the </w:t>
      </w:r>
      <w:r w:rsidRPr="00C374D1">
        <w:rPr>
          <w:rFonts w:cstheme="minorHAnsi"/>
          <w:sz w:val="24"/>
          <w:szCs w:val="24"/>
        </w:rPr>
        <w:t>Regional Council</w:t>
      </w:r>
      <w:r w:rsidR="00EA2A27" w:rsidRPr="00C374D1">
        <w:rPr>
          <w:rFonts w:cstheme="minorHAnsi"/>
          <w:sz w:val="24"/>
          <w:szCs w:val="24"/>
        </w:rPr>
        <w:t>,</w:t>
      </w:r>
      <w:r w:rsidR="00C66145" w:rsidRPr="00C374D1">
        <w:rPr>
          <w:rFonts w:cstheme="minorHAnsi"/>
          <w:sz w:val="24"/>
          <w:szCs w:val="24"/>
        </w:rPr>
        <w:t xml:space="preserve"> along with a request certificate using the same </w:t>
      </w:r>
      <w:r w:rsidR="007702F7" w:rsidRPr="00C374D1">
        <w:rPr>
          <w:rFonts w:cstheme="minorHAnsi"/>
          <w:sz w:val="24"/>
          <w:szCs w:val="24"/>
        </w:rPr>
        <w:t xml:space="preserve">property resolution template </w:t>
      </w:r>
      <w:r w:rsidR="00C66145" w:rsidRPr="00C374D1">
        <w:rPr>
          <w:rFonts w:cstheme="minorHAnsi"/>
          <w:sz w:val="24"/>
          <w:szCs w:val="24"/>
        </w:rPr>
        <w:t xml:space="preserve">found in Appendix A. </w:t>
      </w:r>
      <w:r w:rsidR="00EA2A27" w:rsidRPr="00C374D1">
        <w:rPr>
          <w:rFonts w:cstheme="minorHAnsi"/>
          <w:sz w:val="24"/>
          <w:szCs w:val="24"/>
        </w:rPr>
        <w:t xml:space="preserve"> </w:t>
      </w:r>
      <w:r w:rsidR="00C66145" w:rsidRPr="00C374D1">
        <w:rPr>
          <w:rFonts w:cstheme="minorHAnsi"/>
          <w:sz w:val="24"/>
          <w:szCs w:val="24"/>
        </w:rPr>
        <w:t>C</w:t>
      </w:r>
      <w:r w:rsidR="00EA2A27" w:rsidRPr="00C374D1">
        <w:rPr>
          <w:rFonts w:cstheme="minorHAnsi"/>
          <w:sz w:val="24"/>
          <w:szCs w:val="24"/>
        </w:rPr>
        <w:t>onsent from the Covenant Commission is</w:t>
      </w:r>
      <w:r w:rsidR="00114814" w:rsidRPr="00C374D1">
        <w:rPr>
          <w:rFonts w:cstheme="minorHAnsi"/>
          <w:sz w:val="24"/>
          <w:szCs w:val="24"/>
        </w:rPr>
        <w:t xml:space="preserve"> legally</w:t>
      </w:r>
      <w:r w:rsidR="00EA2A27" w:rsidRPr="00C374D1">
        <w:rPr>
          <w:rFonts w:cstheme="minorHAnsi"/>
          <w:sz w:val="24"/>
          <w:szCs w:val="24"/>
        </w:rPr>
        <w:t xml:space="preserve"> required prior to the offer being accepted.  This request should also include details about the proposed use of the net proceeds.  </w:t>
      </w:r>
      <w:r w:rsidR="00114814" w:rsidRPr="00C374D1">
        <w:rPr>
          <w:rFonts w:cstheme="minorHAnsi"/>
          <w:sz w:val="24"/>
          <w:szCs w:val="24"/>
        </w:rPr>
        <w:t>Please note if there are any differences from the proposal at the time the property was listed for sale.</w:t>
      </w:r>
    </w:p>
    <w:p w:rsidR="0065596C" w:rsidRPr="00C374D1" w:rsidRDefault="0065596C" w:rsidP="00E12470">
      <w:pPr>
        <w:pStyle w:val="ListParagraph"/>
        <w:numPr>
          <w:ilvl w:val="0"/>
          <w:numId w:val="2"/>
        </w:numPr>
        <w:spacing w:before="120" w:after="120"/>
        <w:contextualSpacing w:val="0"/>
        <w:rPr>
          <w:rFonts w:cstheme="minorHAnsi"/>
          <w:sz w:val="24"/>
          <w:szCs w:val="24"/>
        </w:rPr>
      </w:pPr>
      <w:r w:rsidRPr="00C374D1">
        <w:rPr>
          <w:rFonts w:cstheme="minorHAnsi"/>
          <w:sz w:val="24"/>
          <w:szCs w:val="24"/>
        </w:rPr>
        <w:t>The regional council makes a decision whether to approve</w:t>
      </w:r>
    </w:p>
    <w:p w:rsidR="0065596C" w:rsidRPr="00C374D1" w:rsidRDefault="0065596C" w:rsidP="00E12470">
      <w:pPr>
        <w:pStyle w:val="ListParagraph"/>
        <w:numPr>
          <w:ilvl w:val="0"/>
          <w:numId w:val="26"/>
        </w:numPr>
        <w:spacing w:after="60"/>
        <w:contextualSpacing w:val="0"/>
        <w:rPr>
          <w:rFonts w:cstheme="minorHAnsi"/>
          <w:sz w:val="24"/>
          <w:szCs w:val="24"/>
        </w:rPr>
      </w:pPr>
      <w:r w:rsidRPr="00C374D1">
        <w:rPr>
          <w:rFonts w:cstheme="minorHAnsi"/>
          <w:sz w:val="24"/>
          <w:szCs w:val="24"/>
        </w:rPr>
        <w:t>The transaction, and</w:t>
      </w:r>
    </w:p>
    <w:p w:rsidR="0065596C" w:rsidRPr="00C374D1" w:rsidRDefault="0065596C" w:rsidP="00E12470">
      <w:pPr>
        <w:pStyle w:val="ListParagraph"/>
        <w:numPr>
          <w:ilvl w:val="0"/>
          <w:numId w:val="26"/>
        </w:numPr>
        <w:spacing w:after="60"/>
        <w:contextualSpacing w:val="0"/>
        <w:rPr>
          <w:rFonts w:cstheme="minorHAnsi"/>
          <w:sz w:val="24"/>
          <w:szCs w:val="24"/>
        </w:rPr>
      </w:pPr>
      <w:r w:rsidRPr="00C374D1">
        <w:rPr>
          <w:rFonts w:cstheme="minorHAnsi"/>
          <w:sz w:val="24"/>
          <w:szCs w:val="24"/>
        </w:rPr>
        <w:t>The use of any proceeds received by the congregation or pastoral charge in the transaction.</w:t>
      </w:r>
    </w:p>
    <w:p w:rsidR="00C66145" w:rsidRPr="00C374D1" w:rsidRDefault="00C66145" w:rsidP="00E12470">
      <w:pPr>
        <w:pStyle w:val="ListParagraph"/>
        <w:numPr>
          <w:ilvl w:val="0"/>
          <w:numId w:val="2"/>
        </w:numPr>
        <w:spacing w:before="120" w:after="120"/>
        <w:contextualSpacing w:val="0"/>
        <w:rPr>
          <w:rFonts w:cstheme="minorHAnsi"/>
          <w:sz w:val="24"/>
          <w:szCs w:val="24"/>
        </w:rPr>
      </w:pPr>
      <w:r w:rsidRPr="00C374D1">
        <w:rPr>
          <w:rFonts w:cstheme="minorHAnsi"/>
          <w:sz w:val="24"/>
          <w:szCs w:val="24"/>
        </w:rPr>
        <w:t xml:space="preserve">Once the offer has been reviewed and approved by the Covenant Commission, the Trustees will receive </w:t>
      </w:r>
      <w:r w:rsidR="00BD769D" w:rsidRPr="00C374D1">
        <w:rPr>
          <w:rFonts w:cstheme="minorHAnsi"/>
          <w:sz w:val="24"/>
          <w:szCs w:val="24"/>
        </w:rPr>
        <w:t xml:space="preserve">a copy of the motion and a signed certificate verifying </w:t>
      </w:r>
      <w:r w:rsidR="00114814" w:rsidRPr="00C374D1">
        <w:rPr>
          <w:rFonts w:cstheme="minorHAnsi"/>
          <w:sz w:val="24"/>
          <w:szCs w:val="24"/>
        </w:rPr>
        <w:t xml:space="preserve">that the sale has been approved.  If the sale is not completed for any reason, please notify the Covenant Commission.  Any subsequent offers will need to follow the same process. </w:t>
      </w:r>
    </w:p>
    <w:p w:rsidR="00E12470" w:rsidRPr="00206116" w:rsidRDefault="00BA0295" w:rsidP="00206116">
      <w:pPr>
        <w:pStyle w:val="Heading2"/>
      </w:pPr>
      <w:bookmarkStart w:id="10" w:name="_Toc17190584"/>
      <w:r w:rsidRPr="00206116">
        <w:rPr>
          <w:rStyle w:val="Heading2Char"/>
          <w:b/>
        </w:rPr>
        <w:lastRenderedPageBreak/>
        <w:t>Guidelines for Setting a Price:</w:t>
      </w:r>
      <w:bookmarkEnd w:id="10"/>
      <w:r w:rsidRPr="00206116">
        <w:t xml:space="preserve">  </w:t>
      </w:r>
    </w:p>
    <w:p w:rsidR="00E12470" w:rsidRPr="00E12470" w:rsidRDefault="00BA0295" w:rsidP="00E12470">
      <w:pPr>
        <w:spacing w:before="120" w:after="120"/>
        <w:rPr>
          <w:rFonts w:cstheme="minorHAnsi"/>
          <w:sz w:val="24"/>
          <w:szCs w:val="24"/>
        </w:rPr>
      </w:pPr>
      <w:r w:rsidRPr="00C374D1">
        <w:rPr>
          <w:rFonts w:cstheme="minorHAnsi"/>
          <w:sz w:val="24"/>
          <w:szCs w:val="24"/>
        </w:rPr>
        <w:t>The Board of Trustees holds the property in trust for the use of the congregation. As such they are bound to seek Fair Market Value for an asset as part of this obligation. That is why it is important to get 2 or more current market value appraisals to accompany the listing request.  That said, if the congregation wants to make an argument for a slightly reduced price to support another charity, a proposal can be made to the Covenant Commission.  The purpose of the regional council's participation is to ensure that United Church of Canada resources are managed to the benefit of the United Church of Canada and its ministries.</w:t>
      </w:r>
    </w:p>
    <w:p w:rsidR="00A40A30" w:rsidRPr="00C374D1" w:rsidRDefault="007702F7" w:rsidP="00546711">
      <w:pPr>
        <w:pStyle w:val="Heading1"/>
      </w:pPr>
      <w:bookmarkStart w:id="11" w:name="_Toc17190585"/>
      <w:r w:rsidRPr="00C374D1">
        <w:t>Other Property Transactions:</w:t>
      </w:r>
      <w:bookmarkEnd w:id="11"/>
    </w:p>
    <w:p w:rsidR="00B57A37" w:rsidRPr="00C374D1" w:rsidRDefault="00B57A37" w:rsidP="00E12470">
      <w:pPr>
        <w:spacing w:before="120" w:after="0"/>
        <w:rPr>
          <w:rFonts w:cstheme="minorHAnsi"/>
          <w:sz w:val="24"/>
          <w:szCs w:val="24"/>
        </w:rPr>
      </w:pPr>
      <w:r w:rsidRPr="00C374D1">
        <w:rPr>
          <w:rFonts w:cstheme="minorHAnsi"/>
          <w:sz w:val="24"/>
          <w:szCs w:val="24"/>
        </w:rPr>
        <w:t>In addition to selling congregational property, a community of faith may also engage in other types of transactions such as:</w:t>
      </w:r>
    </w:p>
    <w:p w:rsidR="00B57A37" w:rsidRPr="00C374D1" w:rsidRDefault="00B57A37" w:rsidP="00E12470">
      <w:pPr>
        <w:pStyle w:val="ListParagraph"/>
        <w:numPr>
          <w:ilvl w:val="0"/>
          <w:numId w:val="20"/>
        </w:numPr>
        <w:spacing w:after="0"/>
        <w:ind w:left="714" w:hanging="357"/>
        <w:contextualSpacing w:val="0"/>
        <w:rPr>
          <w:rFonts w:cstheme="minorHAnsi"/>
          <w:sz w:val="24"/>
          <w:szCs w:val="24"/>
        </w:rPr>
      </w:pPr>
      <w:r w:rsidRPr="00C374D1">
        <w:rPr>
          <w:rFonts w:cstheme="minorHAnsi"/>
          <w:sz w:val="24"/>
          <w:szCs w:val="24"/>
        </w:rPr>
        <w:t>purchases;</w:t>
      </w:r>
    </w:p>
    <w:p w:rsidR="00B57A37" w:rsidRPr="00C374D1" w:rsidRDefault="00B57A37" w:rsidP="00E12470">
      <w:pPr>
        <w:pStyle w:val="ListParagraph"/>
        <w:numPr>
          <w:ilvl w:val="0"/>
          <w:numId w:val="20"/>
        </w:numPr>
        <w:spacing w:after="0"/>
        <w:ind w:left="714" w:hanging="357"/>
        <w:contextualSpacing w:val="0"/>
        <w:rPr>
          <w:rFonts w:cstheme="minorHAnsi"/>
          <w:sz w:val="24"/>
          <w:szCs w:val="24"/>
        </w:rPr>
      </w:pPr>
      <w:r w:rsidRPr="00C374D1">
        <w:rPr>
          <w:rFonts w:cstheme="minorHAnsi"/>
          <w:sz w:val="24"/>
          <w:szCs w:val="24"/>
        </w:rPr>
        <w:t>mortgages;</w:t>
      </w:r>
    </w:p>
    <w:p w:rsidR="00B57A37" w:rsidRPr="00C374D1" w:rsidRDefault="00B57A37" w:rsidP="00E12470">
      <w:pPr>
        <w:pStyle w:val="ListParagraph"/>
        <w:numPr>
          <w:ilvl w:val="0"/>
          <w:numId w:val="20"/>
        </w:numPr>
        <w:spacing w:after="0"/>
        <w:ind w:left="714" w:hanging="357"/>
        <w:contextualSpacing w:val="0"/>
        <w:rPr>
          <w:rFonts w:cstheme="minorHAnsi"/>
          <w:sz w:val="24"/>
          <w:szCs w:val="24"/>
        </w:rPr>
      </w:pPr>
      <w:r w:rsidRPr="00C374D1">
        <w:rPr>
          <w:rFonts w:cstheme="minorHAnsi"/>
          <w:sz w:val="24"/>
          <w:szCs w:val="24"/>
        </w:rPr>
        <w:t>any other borrowing that is secured by congregational property</w:t>
      </w:r>
    </w:p>
    <w:p w:rsidR="00B57A37" w:rsidRPr="00C374D1" w:rsidRDefault="00B57A37" w:rsidP="00E12470">
      <w:pPr>
        <w:pStyle w:val="ListParagraph"/>
        <w:numPr>
          <w:ilvl w:val="0"/>
          <w:numId w:val="20"/>
        </w:numPr>
        <w:spacing w:after="0"/>
        <w:ind w:left="714" w:hanging="357"/>
        <w:contextualSpacing w:val="0"/>
        <w:rPr>
          <w:rFonts w:cstheme="minorHAnsi"/>
          <w:sz w:val="24"/>
          <w:szCs w:val="24"/>
        </w:rPr>
      </w:pPr>
      <w:r w:rsidRPr="00C374D1">
        <w:rPr>
          <w:rFonts w:cstheme="minorHAnsi"/>
          <w:sz w:val="24"/>
          <w:szCs w:val="24"/>
        </w:rPr>
        <w:t>leases;</w:t>
      </w:r>
    </w:p>
    <w:p w:rsidR="00B57A37" w:rsidRPr="00C374D1" w:rsidRDefault="00B57A37" w:rsidP="00E12470">
      <w:pPr>
        <w:pStyle w:val="ListParagraph"/>
        <w:numPr>
          <w:ilvl w:val="0"/>
          <w:numId w:val="20"/>
        </w:numPr>
        <w:spacing w:after="0"/>
        <w:ind w:left="714" w:hanging="357"/>
        <w:contextualSpacing w:val="0"/>
        <w:rPr>
          <w:rFonts w:cstheme="minorHAnsi"/>
          <w:sz w:val="24"/>
          <w:szCs w:val="24"/>
        </w:rPr>
      </w:pPr>
      <w:r w:rsidRPr="00C374D1">
        <w:rPr>
          <w:rFonts w:cstheme="minorHAnsi"/>
          <w:sz w:val="24"/>
          <w:szCs w:val="24"/>
        </w:rPr>
        <w:t>major renovations; (see definition under Regional Property Policy)</w:t>
      </w:r>
    </w:p>
    <w:p w:rsidR="00B57A37" w:rsidRPr="00C374D1" w:rsidRDefault="00B57A37" w:rsidP="00E12470">
      <w:pPr>
        <w:pStyle w:val="ListParagraph"/>
        <w:numPr>
          <w:ilvl w:val="0"/>
          <w:numId w:val="20"/>
        </w:numPr>
        <w:spacing w:after="0"/>
        <w:ind w:left="714" w:hanging="357"/>
        <w:contextualSpacing w:val="0"/>
        <w:rPr>
          <w:rFonts w:cstheme="minorHAnsi"/>
          <w:sz w:val="24"/>
          <w:szCs w:val="24"/>
        </w:rPr>
      </w:pPr>
      <w:r w:rsidRPr="00C374D1">
        <w:rPr>
          <w:rFonts w:cstheme="minorHAnsi"/>
          <w:sz w:val="24"/>
          <w:szCs w:val="24"/>
        </w:rPr>
        <w:t>demolition; and</w:t>
      </w:r>
    </w:p>
    <w:p w:rsidR="00B57A37" w:rsidRPr="00C374D1" w:rsidRDefault="00B57A37" w:rsidP="00E12470">
      <w:pPr>
        <w:pStyle w:val="ListParagraph"/>
        <w:numPr>
          <w:ilvl w:val="0"/>
          <w:numId w:val="20"/>
        </w:numPr>
        <w:spacing w:after="0"/>
        <w:ind w:left="714" w:hanging="357"/>
        <w:contextualSpacing w:val="0"/>
        <w:rPr>
          <w:rFonts w:cstheme="minorHAnsi"/>
          <w:sz w:val="24"/>
          <w:szCs w:val="24"/>
        </w:rPr>
      </w:pPr>
      <w:proofErr w:type="gramStart"/>
      <w:r w:rsidRPr="00C374D1">
        <w:rPr>
          <w:rFonts w:cstheme="minorHAnsi"/>
          <w:sz w:val="24"/>
          <w:szCs w:val="24"/>
        </w:rPr>
        <w:t>construction</w:t>
      </w:r>
      <w:proofErr w:type="gramEnd"/>
      <w:r w:rsidRPr="00C374D1">
        <w:rPr>
          <w:rFonts w:cstheme="minorHAnsi"/>
          <w:sz w:val="24"/>
          <w:szCs w:val="24"/>
        </w:rPr>
        <w:t xml:space="preserve"> of a new building.</w:t>
      </w:r>
    </w:p>
    <w:p w:rsidR="00B57A37" w:rsidRPr="00C374D1" w:rsidRDefault="00B57A37" w:rsidP="00E12470">
      <w:pPr>
        <w:spacing w:before="120" w:after="120"/>
        <w:rPr>
          <w:rFonts w:cstheme="minorHAnsi"/>
          <w:sz w:val="24"/>
          <w:szCs w:val="24"/>
        </w:rPr>
      </w:pPr>
      <w:r w:rsidRPr="00C374D1">
        <w:rPr>
          <w:rFonts w:cstheme="minorHAnsi"/>
          <w:sz w:val="24"/>
          <w:szCs w:val="24"/>
        </w:rPr>
        <w:t xml:space="preserve">These types of transactions also require consultation with the regional council covenant commission.  The community of faith may have </w:t>
      </w:r>
      <w:r w:rsidR="003C01C6" w:rsidRPr="00C374D1">
        <w:rPr>
          <w:rFonts w:cstheme="minorHAnsi"/>
          <w:sz w:val="24"/>
          <w:szCs w:val="24"/>
        </w:rPr>
        <w:t>established additional steps which need to be followed.</w:t>
      </w:r>
    </w:p>
    <w:p w:rsidR="00B57A37" w:rsidRPr="00C374D1" w:rsidRDefault="00B57A37" w:rsidP="00206116">
      <w:pPr>
        <w:pStyle w:val="Heading2"/>
      </w:pPr>
      <w:bookmarkStart w:id="12" w:name="_Toc17190586"/>
      <w:r w:rsidRPr="00C374D1">
        <w:t>Basic Steps:</w:t>
      </w:r>
      <w:bookmarkEnd w:id="12"/>
    </w:p>
    <w:p w:rsidR="00B57A37" w:rsidRPr="00C374D1" w:rsidRDefault="003C01C6" w:rsidP="00E12470">
      <w:pPr>
        <w:pStyle w:val="ListParagraph"/>
        <w:numPr>
          <w:ilvl w:val="0"/>
          <w:numId w:val="29"/>
        </w:numPr>
        <w:spacing w:before="120" w:after="120"/>
        <w:contextualSpacing w:val="0"/>
        <w:rPr>
          <w:rFonts w:cstheme="minorHAnsi"/>
          <w:sz w:val="24"/>
          <w:szCs w:val="24"/>
        </w:rPr>
      </w:pPr>
      <w:r w:rsidRPr="00C374D1">
        <w:rPr>
          <w:rFonts w:cstheme="minorHAnsi"/>
          <w:sz w:val="24"/>
          <w:szCs w:val="24"/>
        </w:rPr>
        <w:t>The governing body decides to enter into a congregational property transaction.</w:t>
      </w:r>
    </w:p>
    <w:p w:rsidR="003C01C6" w:rsidRPr="00C374D1" w:rsidRDefault="003C01C6" w:rsidP="00E12470">
      <w:pPr>
        <w:pStyle w:val="ListParagraph"/>
        <w:numPr>
          <w:ilvl w:val="0"/>
          <w:numId w:val="29"/>
        </w:numPr>
        <w:spacing w:before="120" w:after="120"/>
        <w:contextualSpacing w:val="0"/>
        <w:rPr>
          <w:rFonts w:cstheme="minorHAnsi"/>
          <w:sz w:val="24"/>
          <w:szCs w:val="24"/>
        </w:rPr>
      </w:pPr>
      <w:r w:rsidRPr="00C374D1">
        <w:rPr>
          <w:rFonts w:cstheme="minorHAnsi"/>
          <w:sz w:val="24"/>
          <w:szCs w:val="24"/>
        </w:rPr>
        <w:t>The governing body consults with the Antler River Watershed Covenant Commission regarding their plans.  The governing body must ensure that the transaction costs and any trustee debt are paid out of the proceeds.</w:t>
      </w:r>
    </w:p>
    <w:p w:rsidR="003C01C6" w:rsidRPr="00C374D1" w:rsidRDefault="003C01C6" w:rsidP="00E12470">
      <w:pPr>
        <w:pStyle w:val="ListParagraph"/>
        <w:numPr>
          <w:ilvl w:val="0"/>
          <w:numId w:val="29"/>
        </w:numPr>
        <w:spacing w:before="120" w:after="120"/>
        <w:contextualSpacing w:val="0"/>
        <w:rPr>
          <w:rFonts w:cstheme="minorHAnsi"/>
          <w:sz w:val="24"/>
          <w:szCs w:val="24"/>
        </w:rPr>
      </w:pPr>
      <w:r w:rsidRPr="00C374D1">
        <w:rPr>
          <w:rFonts w:cstheme="minorHAnsi"/>
          <w:sz w:val="24"/>
          <w:szCs w:val="24"/>
        </w:rPr>
        <w:t>The governing body directs the trustees to seek consent from the covenant commission and then proceed with the transaction.</w:t>
      </w:r>
    </w:p>
    <w:p w:rsidR="00E12470" w:rsidRDefault="003C01C6" w:rsidP="00E12470">
      <w:pPr>
        <w:pStyle w:val="NormalWeb"/>
        <w:numPr>
          <w:ilvl w:val="0"/>
          <w:numId w:val="29"/>
        </w:numPr>
        <w:spacing w:before="120" w:after="120"/>
        <w:rPr>
          <w:rFonts w:asciiTheme="minorHAnsi" w:hAnsiTheme="minorHAnsi" w:cstheme="minorHAnsi"/>
          <w:color w:val="000000"/>
        </w:rPr>
      </w:pPr>
      <w:r w:rsidRPr="00C374D1">
        <w:rPr>
          <w:rFonts w:asciiTheme="minorHAnsi" w:hAnsiTheme="minorHAnsi" w:cstheme="minorHAnsi"/>
          <w:color w:val="000000"/>
        </w:rPr>
        <w:t>A (special) meeting of the Board of Trustees shall be called, giving each Trustee at least seven days’ notice in writing, specifying the time, place, and purpose of the meeting</w:t>
      </w:r>
      <w:r w:rsidR="00E24368" w:rsidRPr="00C374D1">
        <w:rPr>
          <w:rFonts w:asciiTheme="minorHAnsi" w:hAnsiTheme="minorHAnsi" w:cstheme="minorHAnsi"/>
          <w:color w:val="000000"/>
        </w:rPr>
        <w:t xml:space="preserve"> and </w:t>
      </w:r>
      <w:r w:rsidRPr="00C374D1">
        <w:rPr>
          <w:rFonts w:asciiTheme="minorHAnsi" w:hAnsiTheme="minorHAnsi" w:cstheme="minorHAnsi"/>
          <w:color w:val="000000"/>
        </w:rPr>
        <w:t>pass a resolution setting out the decision to acquire, mortgage, lease, exchange, construct, enlarge, effect major renovations, demolish, or rebuild</w:t>
      </w:r>
      <w:r w:rsidR="0058051B" w:rsidRPr="00C374D1">
        <w:rPr>
          <w:rFonts w:asciiTheme="minorHAnsi" w:hAnsiTheme="minorHAnsi" w:cstheme="minorHAnsi"/>
          <w:color w:val="000000"/>
        </w:rPr>
        <w:t xml:space="preserve">. </w:t>
      </w:r>
      <w:r w:rsidR="00E24368" w:rsidRPr="00C374D1">
        <w:rPr>
          <w:rFonts w:asciiTheme="minorHAnsi" w:hAnsiTheme="minorHAnsi" w:cstheme="minorHAnsi"/>
        </w:rPr>
        <w:t>The template for the motion is found in Appendix A; Property Resolution Trustees.</w:t>
      </w:r>
      <w:r w:rsidR="0058051B" w:rsidRPr="00C374D1">
        <w:rPr>
          <w:rFonts w:asciiTheme="minorHAnsi" w:hAnsiTheme="minorHAnsi" w:cstheme="minorHAnsi"/>
          <w:color w:val="000000"/>
        </w:rPr>
        <w:t xml:space="preserve"> </w:t>
      </w:r>
    </w:p>
    <w:p w:rsidR="0058051B" w:rsidRPr="00C374D1" w:rsidRDefault="0058051B" w:rsidP="00E12470">
      <w:pPr>
        <w:pStyle w:val="NormalWeb"/>
        <w:spacing w:before="120" w:after="120"/>
        <w:ind w:left="720"/>
        <w:rPr>
          <w:rFonts w:asciiTheme="minorHAnsi" w:hAnsiTheme="minorHAnsi" w:cstheme="minorHAnsi"/>
          <w:color w:val="000000"/>
        </w:rPr>
      </w:pPr>
      <w:r w:rsidRPr="00C374D1">
        <w:rPr>
          <w:rFonts w:asciiTheme="minorHAnsi" w:hAnsiTheme="minorHAnsi" w:cstheme="minorHAnsi"/>
          <w:color w:val="000000"/>
        </w:rPr>
        <w:t>The motion includes:</w:t>
      </w:r>
    </w:p>
    <w:p w:rsidR="004372B7" w:rsidRPr="00C374D1" w:rsidRDefault="003C01C6" w:rsidP="00E12470">
      <w:pPr>
        <w:pStyle w:val="NormalWeb"/>
        <w:numPr>
          <w:ilvl w:val="0"/>
          <w:numId w:val="22"/>
        </w:numPr>
        <w:spacing w:after="60"/>
        <w:ind w:left="1418" w:hanging="218"/>
        <w:rPr>
          <w:rFonts w:asciiTheme="minorHAnsi" w:hAnsiTheme="minorHAnsi" w:cstheme="minorHAnsi"/>
          <w:color w:val="000000"/>
        </w:rPr>
      </w:pPr>
      <w:r w:rsidRPr="00C374D1">
        <w:rPr>
          <w:rFonts w:asciiTheme="minorHAnsi" w:hAnsiTheme="minorHAnsi" w:cstheme="minorHAnsi"/>
          <w:color w:val="000000"/>
        </w:rPr>
        <w:t xml:space="preserve">the legal description of the </w:t>
      </w:r>
      <w:r w:rsidR="00E24368" w:rsidRPr="00C374D1">
        <w:rPr>
          <w:rFonts w:asciiTheme="minorHAnsi" w:hAnsiTheme="minorHAnsi" w:cstheme="minorHAnsi"/>
          <w:color w:val="000000"/>
        </w:rPr>
        <w:t>r</w:t>
      </w:r>
      <w:r w:rsidRPr="00C374D1">
        <w:rPr>
          <w:rFonts w:asciiTheme="minorHAnsi" w:hAnsiTheme="minorHAnsi" w:cstheme="minorHAnsi"/>
          <w:color w:val="000000"/>
        </w:rPr>
        <w:t xml:space="preserve">eal </w:t>
      </w:r>
      <w:r w:rsidR="00E24368" w:rsidRPr="00C374D1">
        <w:rPr>
          <w:rFonts w:asciiTheme="minorHAnsi" w:hAnsiTheme="minorHAnsi" w:cstheme="minorHAnsi"/>
          <w:color w:val="000000"/>
        </w:rPr>
        <w:t>p</w:t>
      </w:r>
      <w:r w:rsidRPr="00C374D1">
        <w:rPr>
          <w:rFonts w:asciiTheme="minorHAnsi" w:hAnsiTheme="minorHAnsi" w:cstheme="minorHAnsi"/>
          <w:color w:val="000000"/>
        </w:rPr>
        <w:t>roperty</w:t>
      </w:r>
      <w:r w:rsidR="0058051B" w:rsidRPr="00C374D1">
        <w:rPr>
          <w:rFonts w:asciiTheme="minorHAnsi" w:hAnsiTheme="minorHAnsi" w:cstheme="minorHAnsi"/>
          <w:color w:val="000000"/>
        </w:rPr>
        <w:t xml:space="preserve"> (land)</w:t>
      </w:r>
      <w:r w:rsidRPr="00C374D1">
        <w:rPr>
          <w:rFonts w:asciiTheme="minorHAnsi" w:hAnsiTheme="minorHAnsi" w:cstheme="minorHAnsi"/>
          <w:color w:val="000000"/>
        </w:rPr>
        <w:t xml:space="preserve">, or an adequate description of the </w:t>
      </w:r>
      <w:r w:rsidR="00E24368" w:rsidRPr="00C374D1">
        <w:rPr>
          <w:rFonts w:asciiTheme="minorHAnsi" w:hAnsiTheme="minorHAnsi" w:cstheme="minorHAnsi"/>
          <w:color w:val="000000"/>
        </w:rPr>
        <w:t>major asset</w:t>
      </w:r>
      <w:r w:rsidR="004372B7" w:rsidRPr="00C374D1">
        <w:rPr>
          <w:rFonts w:asciiTheme="minorHAnsi" w:hAnsiTheme="minorHAnsi" w:cstheme="minorHAnsi"/>
          <w:color w:val="000000"/>
        </w:rPr>
        <w:t>;</w:t>
      </w:r>
    </w:p>
    <w:p w:rsidR="004372B7" w:rsidRPr="00C374D1" w:rsidRDefault="004372B7" w:rsidP="00E12470">
      <w:pPr>
        <w:pStyle w:val="NormalWeb"/>
        <w:numPr>
          <w:ilvl w:val="0"/>
          <w:numId w:val="22"/>
        </w:numPr>
        <w:spacing w:after="60"/>
        <w:ind w:left="1418" w:hanging="218"/>
        <w:rPr>
          <w:rFonts w:asciiTheme="minorHAnsi" w:hAnsiTheme="minorHAnsi" w:cstheme="minorHAnsi"/>
          <w:color w:val="000000"/>
        </w:rPr>
      </w:pPr>
      <w:r w:rsidRPr="00C374D1">
        <w:rPr>
          <w:rFonts w:asciiTheme="minorHAnsi" w:hAnsiTheme="minorHAnsi" w:cstheme="minorHAnsi"/>
          <w:color w:val="000000"/>
        </w:rPr>
        <w:t>the price or costs;</w:t>
      </w:r>
    </w:p>
    <w:p w:rsidR="004372B7" w:rsidRPr="00C374D1" w:rsidRDefault="003C01C6" w:rsidP="00E12470">
      <w:pPr>
        <w:pStyle w:val="NormalWeb"/>
        <w:numPr>
          <w:ilvl w:val="0"/>
          <w:numId w:val="22"/>
        </w:numPr>
        <w:spacing w:after="60"/>
        <w:ind w:left="1418" w:hanging="218"/>
        <w:rPr>
          <w:rFonts w:asciiTheme="minorHAnsi" w:hAnsiTheme="minorHAnsi" w:cstheme="minorHAnsi"/>
          <w:color w:val="000000"/>
        </w:rPr>
      </w:pPr>
      <w:r w:rsidRPr="00C374D1">
        <w:rPr>
          <w:rFonts w:asciiTheme="minorHAnsi" w:hAnsiTheme="minorHAnsi" w:cstheme="minorHAnsi"/>
          <w:color w:val="000000"/>
        </w:rPr>
        <w:lastRenderedPageBreak/>
        <w:t>the terms</w:t>
      </w:r>
      <w:r w:rsidR="004372B7" w:rsidRPr="00C374D1">
        <w:rPr>
          <w:rFonts w:asciiTheme="minorHAnsi" w:hAnsiTheme="minorHAnsi" w:cstheme="minorHAnsi"/>
          <w:color w:val="000000"/>
        </w:rPr>
        <w:t>;</w:t>
      </w:r>
    </w:p>
    <w:p w:rsidR="004372B7" w:rsidRPr="00C374D1" w:rsidRDefault="003C01C6" w:rsidP="00E12470">
      <w:pPr>
        <w:pStyle w:val="NormalWeb"/>
        <w:numPr>
          <w:ilvl w:val="0"/>
          <w:numId w:val="22"/>
        </w:numPr>
        <w:spacing w:after="60"/>
        <w:ind w:left="1418" w:hanging="218"/>
        <w:rPr>
          <w:rFonts w:asciiTheme="minorHAnsi" w:hAnsiTheme="minorHAnsi" w:cstheme="minorHAnsi"/>
          <w:color w:val="000000"/>
        </w:rPr>
      </w:pPr>
      <w:r w:rsidRPr="00C374D1">
        <w:rPr>
          <w:rFonts w:asciiTheme="minorHAnsi" w:hAnsiTheme="minorHAnsi" w:cstheme="minorHAnsi"/>
          <w:color w:val="000000"/>
        </w:rPr>
        <w:t xml:space="preserve">the proposed </w:t>
      </w:r>
      <w:r w:rsidR="004372B7" w:rsidRPr="00C374D1">
        <w:rPr>
          <w:rFonts w:asciiTheme="minorHAnsi" w:hAnsiTheme="minorHAnsi" w:cstheme="minorHAnsi"/>
          <w:color w:val="000000"/>
        </w:rPr>
        <w:t>use or distribution of</w:t>
      </w:r>
      <w:r w:rsidRPr="00C374D1">
        <w:rPr>
          <w:rFonts w:asciiTheme="minorHAnsi" w:hAnsiTheme="minorHAnsi" w:cstheme="minorHAnsi"/>
          <w:color w:val="000000"/>
        </w:rPr>
        <w:t xml:space="preserve"> proceeds</w:t>
      </w:r>
      <w:r w:rsidR="004372B7" w:rsidRPr="00C374D1">
        <w:rPr>
          <w:rFonts w:asciiTheme="minorHAnsi" w:hAnsiTheme="minorHAnsi" w:cstheme="minorHAnsi"/>
          <w:color w:val="000000"/>
        </w:rPr>
        <w:t>;</w:t>
      </w:r>
      <w:r w:rsidRPr="00C374D1">
        <w:rPr>
          <w:rFonts w:asciiTheme="minorHAnsi" w:hAnsiTheme="minorHAnsi" w:cstheme="minorHAnsi"/>
          <w:color w:val="000000"/>
        </w:rPr>
        <w:t xml:space="preserve"> or </w:t>
      </w:r>
    </w:p>
    <w:p w:rsidR="004372B7" w:rsidRPr="00C374D1" w:rsidRDefault="003C01C6" w:rsidP="00E12470">
      <w:pPr>
        <w:pStyle w:val="NormalWeb"/>
        <w:numPr>
          <w:ilvl w:val="0"/>
          <w:numId w:val="22"/>
        </w:numPr>
        <w:spacing w:after="60"/>
        <w:ind w:left="1418" w:hanging="218"/>
        <w:rPr>
          <w:rFonts w:asciiTheme="minorHAnsi" w:hAnsiTheme="minorHAnsi" w:cstheme="minorHAnsi"/>
          <w:color w:val="000000"/>
        </w:rPr>
      </w:pPr>
      <w:r w:rsidRPr="00C374D1">
        <w:rPr>
          <w:rFonts w:asciiTheme="minorHAnsi" w:hAnsiTheme="minorHAnsi" w:cstheme="minorHAnsi"/>
          <w:color w:val="000000"/>
        </w:rPr>
        <w:t>the proposed source of funds</w:t>
      </w:r>
      <w:r w:rsidR="004372B7" w:rsidRPr="00C374D1">
        <w:rPr>
          <w:rFonts w:asciiTheme="minorHAnsi" w:hAnsiTheme="minorHAnsi" w:cstheme="minorHAnsi"/>
          <w:color w:val="000000"/>
        </w:rPr>
        <w:t>;</w:t>
      </w:r>
      <w:r w:rsidRPr="00C374D1">
        <w:rPr>
          <w:rFonts w:asciiTheme="minorHAnsi" w:hAnsiTheme="minorHAnsi" w:cstheme="minorHAnsi"/>
          <w:color w:val="000000"/>
        </w:rPr>
        <w:t xml:space="preserve"> and </w:t>
      </w:r>
    </w:p>
    <w:p w:rsidR="0058051B" w:rsidRPr="00C374D1" w:rsidRDefault="004372B7" w:rsidP="00E12470">
      <w:pPr>
        <w:pStyle w:val="NormalWeb"/>
        <w:numPr>
          <w:ilvl w:val="0"/>
          <w:numId w:val="22"/>
        </w:numPr>
        <w:spacing w:after="60"/>
        <w:ind w:left="1418" w:hanging="218"/>
        <w:rPr>
          <w:rFonts w:asciiTheme="minorHAnsi" w:hAnsiTheme="minorHAnsi" w:cstheme="minorHAnsi"/>
          <w:color w:val="000000"/>
        </w:rPr>
      </w:pPr>
      <w:r w:rsidRPr="00C374D1">
        <w:rPr>
          <w:rFonts w:asciiTheme="minorHAnsi" w:hAnsiTheme="minorHAnsi" w:cstheme="minorHAnsi"/>
          <w:color w:val="000000"/>
        </w:rPr>
        <w:t xml:space="preserve">the request for consent from the Antler River Watershed Regional Council </w:t>
      </w:r>
    </w:p>
    <w:p w:rsidR="003C01C6" w:rsidRPr="00C374D1" w:rsidRDefault="003C01C6" w:rsidP="00E12470">
      <w:pPr>
        <w:pStyle w:val="NormalWeb"/>
        <w:numPr>
          <w:ilvl w:val="0"/>
          <w:numId w:val="29"/>
        </w:numPr>
        <w:spacing w:before="120" w:after="120"/>
        <w:rPr>
          <w:rFonts w:asciiTheme="minorHAnsi" w:hAnsiTheme="minorHAnsi" w:cstheme="minorHAnsi"/>
          <w:color w:val="000000"/>
        </w:rPr>
      </w:pPr>
      <w:r w:rsidRPr="00C374D1">
        <w:rPr>
          <w:rFonts w:asciiTheme="minorHAnsi" w:hAnsiTheme="minorHAnsi" w:cstheme="minorHAnsi"/>
          <w:color w:val="000000"/>
        </w:rPr>
        <w:t>The resolution should be entered in full in the mi</w:t>
      </w:r>
      <w:r w:rsidR="00E24368" w:rsidRPr="00C374D1">
        <w:rPr>
          <w:rFonts w:asciiTheme="minorHAnsi" w:hAnsiTheme="minorHAnsi" w:cstheme="minorHAnsi"/>
          <w:color w:val="000000"/>
        </w:rPr>
        <w:t>nutes of the Board of Trustees.</w:t>
      </w:r>
    </w:p>
    <w:p w:rsidR="00E24368" w:rsidRPr="00C374D1" w:rsidRDefault="00E24368" w:rsidP="00E12470">
      <w:pPr>
        <w:pStyle w:val="ListParagraph"/>
        <w:numPr>
          <w:ilvl w:val="0"/>
          <w:numId w:val="29"/>
        </w:numPr>
        <w:spacing w:before="120" w:after="120"/>
        <w:contextualSpacing w:val="0"/>
        <w:rPr>
          <w:rFonts w:cstheme="minorHAnsi"/>
          <w:sz w:val="24"/>
          <w:szCs w:val="24"/>
        </w:rPr>
      </w:pPr>
      <w:r w:rsidRPr="00C374D1">
        <w:rPr>
          <w:rFonts w:cstheme="minorHAnsi"/>
          <w:sz w:val="24"/>
          <w:szCs w:val="24"/>
        </w:rPr>
        <w:t xml:space="preserve">The property resolution is forwarded to the Covenant Commission of Antler River Watershed Regional Council.  </w:t>
      </w:r>
    </w:p>
    <w:p w:rsidR="0065596C" w:rsidRPr="00C374D1" w:rsidRDefault="0065596C" w:rsidP="00E12470">
      <w:pPr>
        <w:pStyle w:val="ListParagraph"/>
        <w:numPr>
          <w:ilvl w:val="0"/>
          <w:numId w:val="29"/>
        </w:numPr>
        <w:spacing w:before="120" w:after="120"/>
        <w:contextualSpacing w:val="0"/>
        <w:rPr>
          <w:rFonts w:cstheme="minorHAnsi"/>
          <w:sz w:val="24"/>
          <w:szCs w:val="24"/>
        </w:rPr>
      </w:pPr>
      <w:r w:rsidRPr="00C374D1">
        <w:rPr>
          <w:rFonts w:cstheme="minorHAnsi"/>
          <w:sz w:val="24"/>
          <w:szCs w:val="24"/>
        </w:rPr>
        <w:t>If the request is to construct a new church building or manse, other communities of faith may be affected.  The regional council must consult with them and consider their opinions before making a decision on the transaction.</w:t>
      </w:r>
    </w:p>
    <w:p w:rsidR="0065596C" w:rsidRPr="00C374D1" w:rsidRDefault="0065596C" w:rsidP="00E12470">
      <w:pPr>
        <w:pStyle w:val="ListParagraph"/>
        <w:numPr>
          <w:ilvl w:val="0"/>
          <w:numId w:val="29"/>
        </w:numPr>
        <w:spacing w:before="120" w:after="120"/>
        <w:contextualSpacing w:val="0"/>
        <w:rPr>
          <w:rFonts w:cstheme="minorHAnsi"/>
          <w:sz w:val="24"/>
          <w:szCs w:val="24"/>
        </w:rPr>
      </w:pPr>
      <w:r w:rsidRPr="00C374D1">
        <w:rPr>
          <w:rFonts w:cstheme="minorHAnsi"/>
          <w:sz w:val="24"/>
          <w:szCs w:val="24"/>
        </w:rPr>
        <w:t>The regional council makes a decision whether to approve</w:t>
      </w:r>
    </w:p>
    <w:p w:rsidR="0065596C" w:rsidRPr="00C374D1" w:rsidRDefault="0065596C" w:rsidP="00233449">
      <w:pPr>
        <w:pStyle w:val="ListParagraph"/>
        <w:numPr>
          <w:ilvl w:val="0"/>
          <w:numId w:val="30"/>
        </w:numPr>
        <w:spacing w:before="120" w:after="120"/>
        <w:ind w:left="1276" w:hanging="196"/>
        <w:contextualSpacing w:val="0"/>
        <w:rPr>
          <w:rFonts w:cstheme="minorHAnsi"/>
          <w:sz w:val="24"/>
          <w:szCs w:val="24"/>
        </w:rPr>
      </w:pPr>
      <w:r w:rsidRPr="00C374D1">
        <w:rPr>
          <w:rFonts w:cstheme="minorHAnsi"/>
          <w:sz w:val="24"/>
          <w:szCs w:val="24"/>
        </w:rPr>
        <w:t>The transaction, and</w:t>
      </w:r>
    </w:p>
    <w:p w:rsidR="0065596C" w:rsidRPr="00C374D1" w:rsidRDefault="0065596C" w:rsidP="00233449">
      <w:pPr>
        <w:pStyle w:val="ListParagraph"/>
        <w:numPr>
          <w:ilvl w:val="0"/>
          <w:numId w:val="30"/>
        </w:numPr>
        <w:spacing w:before="120" w:after="120"/>
        <w:ind w:left="1276" w:hanging="196"/>
        <w:contextualSpacing w:val="0"/>
        <w:rPr>
          <w:rFonts w:cstheme="minorHAnsi"/>
          <w:sz w:val="24"/>
          <w:szCs w:val="24"/>
        </w:rPr>
      </w:pPr>
      <w:r w:rsidRPr="00C374D1">
        <w:rPr>
          <w:rFonts w:cstheme="minorHAnsi"/>
          <w:sz w:val="24"/>
          <w:szCs w:val="24"/>
        </w:rPr>
        <w:t>The use of any proceeds received by the congregation or pastoral charge in the transaction.</w:t>
      </w:r>
    </w:p>
    <w:p w:rsidR="0065596C" w:rsidRPr="00C374D1" w:rsidRDefault="0065596C" w:rsidP="00E12470">
      <w:pPr>
        <w:pStyle w:val="ListParagraph"/>
        <w:numPr>
          <w:ilvl w:val="0"/>
          <w:numId w:val="29"/>
        </w:numPr>
        <w:spacing w:before="120" w:after="120"/>
        <w:contextualSpacing w:val="0"/>
        <w:rPr>
          <w:rFonts w:cstheme="minorHAnsi"/>
          <w:sz w:val="24"/>
          <w:szCs w:val="24"/>
        </w:rPr>
      </w:pPr>
      <w:r w:rsidRPr="00C374D1">
        <w:rPr>
          <w:rFonts w:cstheme="minorHAnsi"/>
          <w:sz w:val="24"/>
          <w:szCs w:val="24"/>
        </w:rPr>
        <w:t>Once the offer has been reviewed and approved by the Covenant Commission, the Trustees will receive a copy of the motion.</w:t>
      </w:r>
    </w:p>
    <w:p w:rsidR="000A1747" w:rsidRPr="00C374D1" w:rsidRDefault="000A1747" w:rsidP="00E12470">
      <w:pPr>
        <w:pStyle w:val="Heading1"/>
      </w:pPr>
      <w:bookmarkStart w:id="13" w:name="_Toc17190587"/>
      <w:r w:rsidRPr="00C374D1">
        <w:t>Resources:</w:t>
      </w:r>
      <w:bookmarkEnd w:id="13"/>
    </w:p>
    <w:p w:rsidR="000A1747" w:rsidRPr="00C374D1" w:rsidRDefault="00382F8E" w:rsidP="00206116">
      <w:pPr>
        <w:ind w:left="720"/>
        <w:rPr>
          <w:rFonts w:cstheme="minorHAnsi"/>
          <w:sz w:val="24"/>
          <w:szCs w:val="24"/>
        </w:rPr>
      </w:pPr>
      <w:hyperlink r:id="rId10" w:history="1">
        <w:r w:rsidR="000A1747" w:rsidRPr="00C374D1">
          <w:rPr>
            <w:rStyle w:val="Hyperlink"/>
            <w:rFonts w:cstheme="minorHAnsi"/>
            <w:sz w:val="24"/>
            <w:szCs w:val="24"/>
          </w:rPr>
          <w:t>The United Church Manual 2019</w:t>
        </w:r>
      </w:hyperlink>
    </w:p>
    <w:p w:rsidR="000A1747" w:rsidRDefault="00382F8E" w:rsidP="00206116">
      <w:pPr>
        <w:ind w:left="720"/>
        <w:rPr>
          <w:rStyle w:val="Hyperlink"/>
          <w:rFonts w:cstheme="minorHAnsi"/>
          <w:sz w:val="24"/>
          <w:szCs w:val="24"/>
        </w:rPr>
      </w:pPr>
      <w:hyperlink r:id="rId11" w:history="1">
        <w:r w:rsidR="000A1747" w:rsidRPr="00C374D1">
          <w:rPr>
            <w:rStyle w:val="Hyperlink"/>
            <w:rFonts w:cstheme="minorHAnsi"/>
            <w:sz w:val="24"/>
            <w:szCs w:val="24"/>
          </w:rPr>
          <w:t>Trustees Handbook</w:t>
        </w:r>
      </w:hyperlink>
    </w:p>
    <w:p w:rsidR="00233449" w:rsidRDefault="00382F8E" w:rsidP="00206116">
      <w:pPr>
        <w:spacing w:before="120" w:after="120"/>
        <w:ind w:left="720"/>
        <w:rPr>
          <w:rFonts w:cstheme="minorHAnsi"/>
          <w:sz w:val="24"/>
        </w:rPr>
      </w:pPr>
      <w:hyperlink r:id="rId12" w:history="1">
        <w:r w:rsidR="00233449" w:rsidRPr="0034793F">
          <w:rPr>
            <w:rStyle w:val="Hyperlink"/>
            <w:rFonts w:cstheme="minorHAnsi"/>
            <w:sz w:val="24"/>
          </w:rPr>
          <w:t>Property Resolution - Trustees</w:t>
        </w:r>
      </w:hyperlink>
    </w:p>
    <w:p w:rsidR="00233449" w:rsidRDefault="00233449" w:rsidP="00206116">
      <w:pPr>
        <w:spacing w:before="120" w:after="120"/>
        <w:ind w:left="720"/>
        <w:rPr>
          <w:rStyle w:val="Hyperlink"/>
          <w:rFonts w:cstheme="minorHAnsi"/>
          <w:sz w:val="24"/>
        </w:rPr>
      </w:pPr>
      <w:r>
        <w:rPr>
          <w:rFonts w:cstheme="minorHAnsi"/>
          <w:sz w:val="24"/>
        </w:rPr>
        <w:fldChar w:fldCharType="begin"/>
      </w:r>
      <w:r w:rsidR="00206116">
        <w:rPr>
          <w:rFonts w:cstheme="minorHAnsi"/>
          <w:sz w:val="24"/>
        </w:rPr>
        <w:instrText>HYPERLINK "ARW%20Property%20Policy.docx"</w:instrText>
      </w:r>
      <w:r>
        <w:rPr>
          <w:rFonts w:cstheme="minorHAnsi"/>
          <w:sz w:val="24"/>
        </w:rPr>
        <w:fldChar w:fldCharType="separate"/>
      </w:r>
      <w:r w:rsidRPr="00233449">
        <w:rPr>
          <w:rStyle w:val="Hyperlink"/>
          <w:rFonts w:cstheme="minorHAnsi"/>
          <w:sz w:val="24"/>
        </w:rPr>
        <w:t>ARW Property Policy</w:t>
      </w:r>
      <w:r w:rsidR="00206116">
        <w:rPr>
          <w:rStyle w:val="Hyperlink"/>
          <w:rFonts w:cstheme="minorHAnsi"/>
          <w:sz w:val="24"/>
        </w:rPr>
        <w:t xml:space="preserve"> </w:t>
      </w:r>
    </w:p>
    <w:p w:rsidR="00206116" w:rsidRPr="00233449" w:rsidRDefault="00206116" w:rsidP="00206116">
      <w:pPr>
        <w:spacing w:before="120" w:after="120"/>
        <w:ind w:left="720"/>
        <w:rPr>
          <w:rStyle w:val="Hyperlink"/>
          <w:rFonts w:cstheme="minorHAnsi"/>
          <w:sz w:val="24"/>
        </w:rPr>
      </w:pPr>
    </w:p>
    <w:p w:rsidR="00A40A30" w:rsidRPr="00206116" w:rsidRDefault="00233449" w:rsidP="00206116">
      <w:pPr>
        <w:ind w:left="720"/>
        <w:rPr>
          <w:rFonts w:cstheme="minorHAnsi"/>
          <w:sz w:val="24"/>
          <w:szCs w:val="24"/>
        </w:rPr>
      </w:pPr>
      <w:r>
        <w:rPr>
          <w:rFonts w:cstheme="minorHAnsi"/>
          <w:sz w:val="24"/>
        </w:rPr>
        <w:fldChar w:fldCharType="end"/>
      </w:r>
    </w:p>
    <w:sectPr w:rsidR="00A40A30" w:rsidRPr="00206116" w:rsidSect="00302983">
      <w:footerReference w:type="default" r:id="rId13"/>
      <w:pgSz w:w="12240" w:h="15840"/>
      <w:pgMar w:top="1134" w:right="132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8E" w:rsidRDefault="00382F8E" w:rsidP="007E2EDB">
      <w:pPr>
        <w:spacing w:after="0" w:line="240" w:lineRule="auto"/>
      </w:pPr>
      <w:r>
        <w:separator/>
      </w:r>
    </w:p>
  </w:endnote>
  <w:endnote w:type="continuationSeparator" w:id="0">
    <w:p w:rsidR="00382F8E" w:rsidRDefault="00382F8E" w:rsidP="007E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2877"/>
      <w:docPartObj>
        <w:docPartGallery w:val="Page Numbers (Bottom of Page)"/>
        <w:docPartUnique/>
      </w:docPartObj>
    </w:sdtPr>
    <w:sdtEndPr>
      <w:rPr>
        <w:noProof/>
      </w:rPr>
    </w:sdtEndPr>
    <w:sdtContent>
      <w:p w:rsidR="00B57A37" w:rsidRDefault="00B57A37">
        <w:pPr>
          <w:pStyle w:val="Footer"/>
          <w:jc w:val="right"/>
        </w:pPr>
        <w:r>
          <w:fldChar w:fldCharType="begin"/>
        </w:r>
        <w:r>
          <w:instrText xml:space="preserve"> PAGE   \* MERGEFORMAT </w:instrText>
        </w:r>
        <w:r>
          <w:fldChar w:fldCharType="separate"/>
        </w:r>
        <w:r w:rsidR="008F2F1A">
          <w:rPr>
            <w:noProof/>
          </w:rPr>
          <w:t>2</w:t>
        </w:r>
        <w:r>
          <w:rPr>
            <w:noProof/>
          </w:rPr>
          <w:fldChar w:fldCharType="end"/>
        </w:r>
      </w:p>
    </w:sdtContent>
  </w:sdt>
  <w:p w:rsidR="007E2EDB" w:rsidRDefault="007E2EDB" w:rsidP="007E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8E" w:rsidRDefault="00382F8E" w:rsidP="007E2EDB">
      <w:pPr>
        <w:spacing w:after="0" w:line="240" w:lineRule="auto"/>
      </w:pPr>
      <w:r>
        <w:separator/>
      </w:r>
    </w:p>
  </w:footnote>
  <w:footnote w:type="continuationSeparator" w:id="0">
    <w:p w:rsidR="00382F8E" w:rsidRDefault="00382F8E" w:rsidP="007E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03"/>
    <w:multiLevelType w:val="hybridMultilevel"/>
    <w:tmpl w:val="02D8522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2A47DF3"/>
    <w:multiLevelType w:val="hybridMultilevel"/>
    <w:tmpl w:val="58F8A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1405C"/>
    <w:multiLevelType w:val="hybridMultilevel"/>
    <w:tmpl w:val="AA5C1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35FAC"/>
    <w:multiLevelType w:val="hybridMultilevel"/>
    <w:tmpl w:val="E020B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1C1550"/>
    <w:multiLevelType w:val="hybridMultilevel"/>
    <w:tmpl w:val="958EF9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E2F2A2E"/>
    <w:multiLevelType w:val="hybridMultilevel"/>
    <w:tmpl w:val="B0982D16"/>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420A72"/>
    <w:multiLevelType w:val="hybridMultilevel"/>
    <w:tmpl w:val="C66CA69E"/>
    <w:lvl w:ilvl="0" w:tplc="10090001">
      <w:start w:val="1"/>
      <w:numFmt w:val="bullet"/>
      <w:lvlText w:val=""/>
      <w:lvlJc w:val="left"/>
      <w:pPr>
        <w:ind w:left="3680" w:hanging="360"/>
      </w:pPr>
      <w:rPr>
        <w:rFonts w:ascii="Symbol" w:hAnsi="Symbol" w:hint="default"/>
      </w:rPr>
    </w:lvl>
    <w:lvl w:ilvl="1" w:tplc="10090003" w:tentative="1">
      <w:start w:val="1"/>
      <w:numFmt w:val="bullet"/>
      <w:lvlText w:val="o"/>
      <w:lvlJc w:val="left"/>
      <w:pPr>
        <w:ind w:left="4400" w:hanging="360"/>
      </w:pPr>
      <w:rPr>
        <w:rFonts w:ascii="Courier New" w:hAnsi="Courier New" w:cs="Courier New" w:hint="default"/>
      </w:rPr>
    </w:lvl>
    <w:lvl w:ilvl="2" w:tplc="10090005" w:tentative="1">
      <w:start w:val="1"/>
      <w:numFmt w:val="bullet"/>
      <w:lvlText w:val=""/>
      <w:lvlJc w:val="left"/>
      <w:pPr>
        <w:ind w:left="5120" w:hanging="360"/>
      </w:pPr>
      <w:rPr>
        <w:rFonts w:ascii="Wingdings" w:hAnsi="Wingdings" w:hint="default"/>
      </w:rPr>
    </w:lvl>
    <w:lvl w:ilvl="3" w:tplc="10090001" w:tentative="1">
      <w:start w:val="1"/>
      <w:numFmt w:val="bullet"/>
      <w:lvlText w:val=""/>
      <w:lvlJc w:val="left"/>
      <w:pPr>
        <w:ind w:left="5840" w:hanging="360"/>
      </w:pPr>
      <w:rPr>
        <w:rFonts w:ascii="Symbol" w:hAnsi="Symbol" w:hint="default"/>
      </w:rPr>
    </w:lvl>
    <w:lvl w:ilvl="4" w:tplc="10090003" w:tentative="1">
      <w:start w:val="1"/>
      <w:numFmt w:val="bullet"/>
      <w:lvlText w:val="o"/>
      <w:lvlJc w:val="left"/>
      <w:pPr>
        <w:ind w:left="6560" w:hanging="360"/>
      </w:pPr>
      <w:rPr>
        <w:rFonts w:ascii="Courier New" w:hAnsi="Courier New" w:cs="Courier New" w:hint="default"/>
      </w:rPr>
    </w:lvl>
    <w:lvl w:ilvl="5" w:tplc="10090005" w:tentative="1">
      <w:start w:val="1"/>
      <w:numFmt w:val="bullet"/>
      <w:lvlText w:val=""/>
      <w:lvlJc w:val="left"/>
      <w:pPr>
        <w:ind w:left="7280" w:hanging="360"/>
      </w:pPr>
      <w:rPr>
        <w:rFonts w:ascii="Wingdings" w:hAnsi="Wingdings" w:hint="default"/>
      </w:rPr>
    </w:lvl>
    <w:lvl w:ilvl="6" w:tplc="10090001" w:tentative="1">
      <w:start w:val="1"/>
      <w:numFmt w:val="bullet"/>
      <w:lvlText w:val=""/>
      <w:lvlJc w:val="left"/>
      <w:pPr>
        <w:ind w:left="8000" w:hanging="360"/>
      </w:pPr>
      <w:rPr>
        <w:rFonts w:ascii="Symbol" w:hAnsi="Symbol" w:hint="default"/>
      </w:rPr>
    </w:lvl>
    <w:lvl w:ilvl="7" w:tplc="10090003" w:tentative="1">
      <w:start w:val="1"/>
      <w:numFmt w:val="bullet"/>
      <w:lvlText w:val="o"/>
      <w:lvlJc w:val="left"/>
      <w:pPr>
        <w:ind w:left="8720" w:hanging="360"/>
      </w:pPr>
      <w:rPr>
        <w:rFonts w:ascii="Courier New" w:hAnsi="Courier New" w:cs="Courier New" w:hint="default"/>
      </w:rPr>
    </w:lvl>
    <w:lvl w:ilvl="8" w:tplc="10090005" w:tentative="1">
      <w:start w:val="1"/>
      <w:numFmt w:val="bullet"/>
      <w:lvlText w:val=""/>
      <w:lvlJc w:val="left"/>
      <w:pPr>
        <w:ind w:left="9440" w:hanging="360"/>
      </w:pPr>
      <w:rPr>
        <w:rFonts w:ascii="Wingdings" w:hAnsi="Wingdings" w:hint="default"/>
      </w:rPr>
    </w:lvl>
  </w:abstractNum>
  <w:abstractNum w:abstractNumId="7" w15:restartNumberingAfterBreak="0">
    <w:nsid w:val="299D1B09"/>
    <w:multiLevelType w:val="hybridMultilevel"/>
    <w:tmpl w:val="9CCA8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960021"/>
    <w:multiLevelType w:val="hybridMultilevel"/>
    <w:tmpl w:val="2CDEC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3F08EC"/>
    <w:multiLevelType w:val="hybridMultilevel"/>
    <w:tmpl w:val="2ACC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C02685"/>
    <w:multiLevelType w:val="hybridMultilevel"/>
    <w:tmpl w:val="03F2D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08102AA"/>
    <w:multiLevelType w:val="hybridMultilevel"/>
    <w:tmpl w:val="D8107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6E0BC1"/>
    <w:multiLevelType w:val="hybridMultilevel"/>
    <w:tmpl w:val="2208E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6B083F"/>
    <w:multiLevelType w:val="hybridMultilevel"/>
    <w:tmpl w:val="02D8522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88C7911"/>
    <w:multiLevelType w:val="hybridMultilevel"/>
    <w:tmpl w:val="3614EE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F5FD2"/>
    <w:multiLevelType w:val="hybridMultilevel"/>
    <w:tmpl w:val="AA3079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6BD5639"/>
    <w:multiLevelType w:val="hybridMultilevel"/>
    <w:tmpl w:val="31201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0723F5"/>
    <w:multiLevelType w:val="hybridMultilevel"/>
    <w:tmpl w:val="614E4768"/>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15:restartNumberingAfterBreak="0">
    <w:nsid w:val="5F145EA5"/>
    <w:multiLevelType w:val="hybridMultilevel"/>
    <w:tmpl w:val="7724FF5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5F6912D4"/>
    <w:multiLevelType w:val="hybridMultilevel"/>
    <w:tmpl w:val="255471E0"/>
    <w:lvl w:ilvl="0" w:tplc="1009001B">
      <w:start w:val="1"/>
      <w:numFmt w:val="lowerRoman"/>
      <w:lvlText w:val="%1."/>
      <w:lvlJc w:val="right"/>
      <w:pPr>
        <w:ind w:left="1130" w:hanging="360"/>
      </w:p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20" w15:restartNumberingAfterBreak="0">
    <w:nsid w:val="66A641FF"/>
    <w:multiLevelType w:val="hybridMultilevel"/>
    <w:tmpl w:val="47F6374E"/>
    <w:lvl w:ilvl="0" w:tplc="10090001">
      <w:start w:val="1"/>
      <w:numFmt w:val="bullet"/>
      <w:lvlText w:val=""/>
      <w:lvlJc w:val="left"/>
      <w:pPr>
        <w:ind w:left="6560" w:hanging="360"/>
      </w:pPr>
      <w:rPr>
        <w:rFonts w:ascii="Symbol" w:hAnsi="Symbol" w:hint="default"/>
      </w:rPr>
    </w:lvl>
    <w:lvl w:ilvl="1" w:tplc="10090003" w:tentative="1">
      <w:start w:val="1"/>
      <w:numFmt w:val="bullet"/>
      <w:lvlText w:val="o"/>
      <w:lvlJc w:val="left"/>
      <w:pPr>
        <w:ind w:left="7280" w:hanging="360"/>
      </w:pPr>
      <w:rPr>
        <w:rFonts w:ascii="Courier New" w:hAnsi="Courier New" w:cs="Courier New" w:hint="default"/>
      </w:rPr>
    </w:lvl>
    <w:lvl w:ilvl="2" w:tplc="10090005" w:tentative="1">
      <w:start w:val="1"/>
      <w:numFmt w:val="bullet"/>
      <w:lvlText w:val=""/>
      <w:lvlJc w:val="left"/>
      <w:pPr>
        <w:ind w:left="8000" w:hanging="360"/>
      </w:pPr>
      <w:rPr>
        <w:rFonts w:ascii="Wingdings" w:hAnsi="Wingdings" w:hint="default"/>
      </w:rPr>
    </w:lvl>
    <w:lvl w:ilvl="3" w:tplc="10090001" w:tentative="1">
      <w:start w:val="1"/>
      <w:numFmt w:val="bullet"/>
      <w:lvlText w:val=""/>
      <w:lvlJc w:val="left"/>
      <w:pPr>
        <w:ind w:left="8720" w:hanging="360"/>
      </w:pPr>
      <w:rPr>
        <w:rFonts w:ascii="Symbol" w:hAnsi="Symbol" w:hint="default"/>
      </w:rPr>
    </w:lvl>
    <w:lvl w:ilvl="4" w:tplc="10090003" w:tentative="1">
      <w:start w:val="1"/>
      <w:numFmt w:val="bullet"/>
      <w:lvlText w:val="o"/>
      <w:lvlJc w:val="left"/>
      <w:pPr>
        <w:ind w:left="9440" w:hanging="360"/>
      </w:pPr>
      <w:rPr>
        <w:rFonts w:ascii="Courier New" w:hAnsi="Courier New" w:cs="Courier New" w:hint="default"/>
      </w:rPr>
    </w:lvl>
    <w:lvl w:ilvl="5" w:tplc="10090005" w:tentative="1">
      <w:start w:val="1"/>
      <w:numFmt w:val="bullet"/>
      <w:lvlText w:val=""/>
      <w:lvlJc w:val="left"/>
      <w:pPr>
        <w:ind w:left="10160" w:hanging="360"/>
      </w:pPr>
      <w:rPr>
        <w:rFonts w:ascii="Wingdings" w:hAnsi="Wingdings" w:hint="default"/>
      </w:rPr>
    </w:lvl>
    <w:lvl w:ilvl="6" w:tplc="10090001" w:tentative="1">
      <w:start w:val="1"/>
      <w:numFmt w:val="bullet"/>
      <w:lvlText w:val=""/>
      <w:lvlJc w:val="left"/>
      <w:pPr>
        <w:ind w:left="10880" w:hanging="360"/>
      </w:pPr>
      <w:rPr>
        <w:rFonts w:ascii="Symbol" w:hAnsi="Symbol" w:hint="default"/>
      </w:rPr>
    </w:lvl>
    <w:lvl w:ilvl="7" w:tplc="10090003" w:tentative="1">
      <w:start w:val="1"/>
      <w:numFmt w:val="bullet"/>
      <w:lvlText w:val="o"/>
      <w:lvlJc w:val="left"/>
      <w:pPr>
        <w:ind w:left="11600" w:hanging="360"/>
      </w:pPr>
      <w:rPr>
        <w:rFonts w:ascii="Courier New" w:hAnsi="Courier New" w:cs="Courier New" w:hint="default"/>
      </w:rPr>
    </w:lvl>
    <w:lvl w:ilvl="8" w:tplc="10090005" w:tentative="1">
      <w:start w:val="1"/>
      <w:numFmt w:val="bullet"/>
      <w:lvlText w:val=""/>
      <w:lvlJc w:val="left"/>
      <w:pPr>
        <w:ind w:left="12320" w:hanging="360"/>
      </w:pPr>
      <w:rPr>
        <w:rFonts w:ascii="Wingdings" w:hAnsi="Wingdings" w:hint="default"/>
      </w:rPr>
    </w:lvl>
  </w:abstractNum>
  <w:abstractNum w:abstractNumId="21" w15:restartNumberingAfterBreak="0">
    <w:nsid w:val="6E1D1B01"/>
    <w:multiLevelType w:val="hybridMultilevel"/>
    <w:tmpl w:val="48124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66676"/>
    <w:multiLevelType w:val="hybridMultilevel"/>
    <w:tmpl w:val="2ACC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6357B3"/>
    <w:multiLevelType w:val="hybridMultilevel"/>
    <w:tmpl w:val="B0982D16"/>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F539DB"/>
    <w:multiLevelType w:val="hybridMultilevel"/>
    <w:tmpl w:val="ABC09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104914"/>
    <w:multiLevelType w:val="hybridMultilevel"/>
    <w:tmpl w:val="C0C28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30722B"/>
    <w:multiLevelType w:val="hybridMultilevel"/>
    <w:tmpl w:val="75A80FB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D434C82"/>
    <w:multiLevelType w:val="hybridMultilevel"/>
    <w:tmpl w:val="29088F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E120B8"/>
    <w:multiLevelType w:val="hybridMultilevel"/>
    <w:tmpl w:val="F62A4A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FEC5FE8"/>
    <w:multiLevelType w:val="hybridMultilevel"/>
    <w:tmpl w:val="FF96B5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1"/>
  </w:num>
  <w:num w:numId="2">
    <w:abstractNumId w:val="23"/>
  </w:num>
  <w:num w:numId="3">
    <w:abstractNumId w:val="16"/>
  </w:num>
  <w:num w:numId="4">
    <w:abstractNumId w:val="4"/>
  </w:num>
  <w:num w:numId="5">
    <w:abstractNumId w:val="9"/>
  </w:num>
  <w:num w:numId="6">
    <w:abstractNumId w:val="27"/>
  </w:num>
  <w:num w:numId="7">
    <w:abstractNumId w:val="22"/>
  </w:num>
  <w:num w:numId="8">
    <w:abstractNumId w:val="14"/>
  </w:num>
  <w:num w:numId="9">
    <w:abstractNumId w:val="12"/>
  </w:num>
  <w:num w:numId="10">
    <w:abstractNumId w:val="15"/>
  </w:num>
  <w:num w:numId="11">
    <w:abstractNumId w:val="18"/>
  </w:num>
  <w:num w:numId="12">
    <w:abstractNumId w:val="17"/>
  </w:num>
  <w:num w:numId="13">
    <w:abstractNumId w:val="2"/>
  </w:num>
  <w:num w:numId="14">
    <w:abstractNumId w:val="29"/>
  </w:num>
  <w:num w:numId="15">
    <w:abstractNumId w:val="25"/>
  </w:num>
  <w:num w:numId="16">
    <w:abstractNumId w:val="24"/>
  </w:num>
  <w:num w:numId="17">
    <w:abstractNumId w:val="28"/>
  </w:num>
  <w:num w:numId="18">
    <w:abstractNumId w:val="6"/>
  </w:num>
  <w:num w:numId="19">
    <w:abstractNumId w:val="20"/>
  </w:num>
  <w:num w:numId="20">
    <w:abstractNumId w:val="11"/>
  </w:num>
  <w:num w:numId="21">
    <w:abstractNumId w:val="3"/>
  </w:num>
  <w:num w:numId="22">
    <w:abstractNumId w:val="19"/>
  </w:num>
  <w:num w:numId="23">
    <w:abstractNumId w:val="10"/>
  </w:num>
  <w:num w:numId="24">
    <w:abstractNumId w:val="26"/>
  </w:num>
  <w:num w:numId="25">
    <w:abstractNumId w:val="7"/>
  </w:num>
  <w:num w:numId="26">
    <w:abstractNumId w:val="0"/>
  </w:num>
  <w:num w:numId="27">
    <w:abstractNumId w:val="8"/>
  </w:num>
  <w:num w:numId="28">
    <w:abstractNumId w:val="1"/>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0"/>
    <w:rsid w:val="000A1747"/>
    <w:rsid w:val="000C777D"/>
    <w:rsid w:val="00114814"/>
    <w:rsid w:val="00146C27"/>
    <w:rsid w:val="001B06C3"/>
    <w:rsid w:val="00206116"/>
    <w:rsid w:val="00221CDD"/>
    <w:rsid w:val="00233449"/>
    <w:rsid w:val="00264968"/>
    <w:rsid w:val="00300537"/>
    <w:rsid w:val="00302983"/>
    <w:rsid w:val="00306CCE"/>
    <w:rsid w:val="0030735F"/>
    <w:rsid w:val="003476F0"/>
    <w:rsid w:val="00376C27"/>
    <w:rsid w:val="00382F8E"/>
    <w:rsid w:val="00397BE7"/>
    <w:rsid w:val="003B7DC5"/>
    <w:rsid w:val="003C01C6"/>
    <w:rsid w:val="00416E7E"/>
    <w:rsid w:val="004372B7"/>
    <w:rsid w:val="004740C1"/>
    <w:rsid w:val="004C10A8"/>
    <w:rsid w:val="004D7B1B"/>
    <w:rsid w:val="00546711"/>
    <w:rsid w:val="0058051B"/>
    <w:rsid w:val="005F4C6C"/>
    <w:rsid w:val="0065596C"/>
    <w:rsid w:val="00761617"/>
    <w:rsid w:val="007702F7"/>
    <w:rsid w:val="00781E10"/>
    <w:rsid w:val="00785300"/>
    <w:rsid w:val="007A2361"/>
    <w:rsid w:val="007B10F3"/>
    <w:rsid w:val="007E2EDB"/>
    <w:rsid w:val="008D328E"/>
    <w:rsid w:val="008F2F1A"/>
    <w:rsid w:val="008F7BC0"/>
    <w:rsid w:val="00911DD5"/>
    <w:rsid w:val="00993701"/>
    <w:rsid w:val="00A05388"/>
    <w:rsid w:val="00A30F21"/>
    <w:rsid w:val="00A35563"/>
    <w:rsid w:val="00A40A30"/>
    <w:rsid w:val="00AB4F24"/>
    <w:rsid w:val="00B2369E"/>
    <w:rsid w:val="00B57A37"/>
    <w:rsid w:val="00B858F6"/>
    <w:rsid w:val="00BA0295"/>
    <w:rsid w:val="00BD769D"/>
    <w:rsid w:val="00C05B1D"/>
    <w:rsid w:val="00C27A60"/>
    <w:rsid w:val="00C374D1"/>
    <w:rsid w:val="00C65E7A"/>
    <w:rsid w:val="00C66145"/>
    <w:rsid w:val="00CE7AD8"/>
    <w:rsid w:val="00D0392F"/>
    <w:rsid w:val="00D64766"/>
    <w:rsid w:val="00E12470"/>
    <w:rsid w:val="00E24368"/>
    <w:rsid w:val="00EA2A27"/>
    <w:rsid w:val="00F07C07"/>
    <w:rsid w:val="00FB6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DF74F-4732-4228-B016-6BAF5F1C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711"/>
    <w:pPr>
      <w:keepNext/>
      <w:keepLines/>
      <w:spacing w:before="240" w:after="120"/>
      <w:outlineLvl w:val="0"/>
    </w:pPr>
    <w:rPr>
      <w:rFonts w:asciiTheme="majorHAnsi" w:eastAsiaTheme="majorEastAsia" w:hAnsiTheme="majorHAnsi" w:cstheme="minorHAnsi"/>
      <w:b/>
      <w:color w:val="2E74B5" w:themeColor="accent1" w:themeShade="BF"/>
      <w:sz w:val="32"/>
      <w:szCs w:val="24"/>
    </w:rPr>
  </w:style>
  <w:style w:type="paragraph" w:styleId="Heading2">
    <w:name w:val="heading 2"/>
    <w:basedOn w:val="Normal"/>
    <w:next w:val="Normal"/>
    <w:link w:val="Heading2Char"/>
    <w:uiPriority w:val="9"/>
    <w:unhideWhenUsed/>
    <w:qFormat/>
    <w:rsid w:val="00206116"/>
    <w:pPr>
      <w:spacing w:before="240" w:after="120"/>
      <w:outlineLvl w:val="1"/>
    </w:pPr>
    <w:rPr>
      <w:rFonts w:asciiTheme="majorHAnsi" w:hAnsiTheme="majorHAnsi" w:cstheme="majorHAnsi"/>
      <w:b/>
      <w:color w:val="2E74B5" w:themeColor="accent1" w:themeShade="BF"/>
      <w:sz w:val="26"/>
      <w:szCs w:val="26"/>
    </w:rPr>
  </w:style>
  <w:style w:type="paragraph" w:styleId="Heading3">
    <w:name w:val="heading 3"/>
    <w:basedOn w:val="Normal"/>
    <w:next w:val="Normal"/>
    <w:link w:val="Heading3Char"/>
    <w:uiPriority w:val="9"/>
    <w:unhideWhenUsed/>
    <w:qFormat/>
    <w:rsid w:val="005467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E7"/>
    <w:pPr>
      <w:ind w:left="720"/>
      <w:contextualSpacing/>
    </w:pPr>
  </w:style>
  <w:style w:type="paragraph" w:styleId="Header">
    <w:name w:val="header"/>
    <w:basedOn w:val="Normal"/>
    <w:link w:val="HeaderChar"/>
    <w:uiPriority w:val="99"/>
    <w:unhideWhenUsed/>
    <w:rsid w:val="007E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DB"/>
  </w:style>
  <w:style w:type="paragraph" w:styleId="Footer">
    <w:name w:val="footer"/>
    <w:basedOn w:val="Normal"/>
    <w:link w:val="FooterChar"/>
    <w:uiPriority w:val="99"/>
    <w:unhideWhenUsed/>
    <w:rsid w:val="007E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DB"/>
  </w:style>
  <w:style w:type="paragraph" w:styleId="NormalWeb">
    <w:name w:val="Normal (Web)"/>
    <w:basedOn w:val="Normal"/>
    <w:uiPriority w:val="99"/>
    <w:unhideWhenUsed/>
    <w:rsid w:val="003C01C6"/>
    <w:pPr>
      <w:spacing w:after="0"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0A1747"/>
    <w:rPr>
      <w:color w:val="0563C1" w:themeColor="hyperlink"/>
      <w:u w:val="single"/>
    </w:rPr>
  </w:style>
  <w:style w:type="character" w:customStyle="1" w:styleId="Heading1Char">
    <w:name w:val="Heading 1 Char"/>
    <w:basedOn w:val="DefaultParagraphFont"/>
    <w:link w:val="Heading1"/>
    <w:uiPriority w:val="9"/>
    <w:rsid w:val="00546711"/>
    <w:rPr>
      <w:rFonts w:asciiTheme="majorHAnsi" w:eastAsiaTheme="majorEastAsia" w:hAnsiTheme="majorHAnsi" w:cstheme="minorHAnsi"/>
      <w:b/>
      <w:color w:val="2E74B5" w:themeColor="accent1" w:themeShade="BF"/>
      <w:sz w:val="32"/>
      <w:szCs w:val="24"/>
    </w:rPr>
  </w:style>
  <w:style w:type="character" w:customStyle="1" w:styleId="Heading2Char">
    <w:name w:val="Heading 2 Char"/>
    <w:basedOn w:val="DefaultParagraphFont"/>
    <w:link w:val="Heading2"/>
    <w:uiPriority w:val="9"/>
    <w:rsid w:val="00206116"/>
    <w:rPr>
      <w:rFonts w:asciiTheme="majorHAnsi" w:hAnsiTheme="majorHAnsi" w:cstheme="majorHAnsi"/>
      <w:b/>
      <w:color w:val="2E74B5" w:themeColor="accent1" w:themeShade="BF"/>
      <w:sz w:val="26"/>
      <w:szCs w:val="26"/>
    </w:rPr>
  </w:style>
  <w:style w:type="paragraph" w:styleId="TOCHeading">
    <w:name w:val="TOC Heading"/>
    <w:basedOn w:val="Heading1"/>
    <w:next w:val="Normal"/>
    <w:uiPriority w:val="39"/>
    <w:unhideWhenUsed/>
    <w:qFormat/>
    <w:rsid w:val="00C374D1"/>
    <w:pPr>
      <w:spacing w:after="0"/>
      <w:outlineLvl w:val="9"/>
    </w:pPr>
    <w:rPr>
      <w:rFonts w:cstheme="majorBidi"/>
      <w:b w:val="0"/>
      <w:szCs w:val="32"/>
      <w:lang w:val="en-US"/>
    </w:rPr>
  </w:style>
  <w:style w:type="paragraph" w:styleId="TOC1">
    <w:name w:val="toc 1"/>
    <w:basedOn w:val="Normal"/>
    <w:next w:val="Normal"/>
    <w:autoRedefine/>
    <w:uiPriority w:val="39"/>
    <w:unhideWhenUsed/>
    <w:rsid w:val="00C374D1"/>
    <w:pPr>
      <w:spacing w:after="100"/>
    </w:pPr>
  </w:style>
  <w:style w:type="paragraph" w:styleId="TOC2">
    <w:name w:val="toc 2"/>
    <w:basedOn w:val="Normal"/>
    <w:next w:val="Normal"/>
    <w:autoRedefine/>
    <w:uiPriority w:val="39"/>
    <w:unhideWhenUsed/>
    <w:rsid w:val="00C374D1"/>
    <w:pPr>
      <w:spacing w:after="100"/>
      <w:ind w:left="220"/>
    </w:pPr>
  </w:style>
  <w:style w:type="character" w:customStyle="1" w:styleId="Heading3Char">
    <w:name w:val="Heading 3 Char"/>
    <w:basedOn w:val="DefaultParagraphFont"/>
    <w:link w:val="Heading3"/>
    <w:uiPriority w:val="9"/>
    <w:rsid w:val="0054671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06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5607">
      <w:bodyDiv w:val="1"/>
      <w:marLeft w:val="0"/>
      <w:marRight w:val="0"/>
      <w:marTop w:val="0"/>
      <w:marBottom w:val="0"/>
      <w:divBdr>
        <w:top w:val="none" w:sz="0" w:space="0" w:color="auto"/>
        <w:left w:val="none" w:sz="0" w:space="0" w:color="auto"/>
        <w:bottom w:val="none" w:sz="0" w:space="0" w:color="auto"/>
        <w:right w:val="none" w:sz="0" w:space="0" w:color="auto"/>
      </w:divBdr>
    </w:div>
    <w:div w:id="706953004">
      <w:bodyDiv w:val="1"/>
      <w:marLeft w:val="0"/>
      <w:marRight w:val="0"/>
      <w:marTop w:val="0"/>
      <w:marBottom w:val="0"/>
      <w:divBdr>
        <w:top w:val="none" w:sz="0" w:space="0" w:color="auto"/>
        <w:left w:val="none" w:sz="0" w:space="0" w:color="auto"/>
        <w:bottom w:val="none" w:sz="0" w:space="0" w:color="auto"/>
        <w:right w:val="none" w:sz="0" w:space="0" w:color="auto"/>
      </w:divBdr>
    </w:div>
    <w:div w:id="892229789">
      <w:bodyDiv w:val="1"/>
      <w:marLeft w:val="0"/>
      <w:marRight w:val="0"/>
      <w:marTop w:val="0"/>
      <w:marBottom w:val="0"/>
      <w:divBdr>
        <w:top w:val="none" w:sz="0" w:space="0" w:color="auto"/>
        <w:left w:val="none" w:sz="0" w:space="0" w:color="auto"/>
        <w:bottom w:val="none" w:sz="0" w:space="0" w:color="auto"/>
        <w:right w:val="none" w:sz="0" w:space="0" w:color="auto"/>
      </w:divBdr>
    </w:div>
    <w:div w:id="12435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RW%20Property%20Policy.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co302\Region%20789%20Staff%20Dropbox\Shared%20Regional%20Files\R789%20Congregational%20Support%20Files\Property\Property%20Resolution%20-%20Trustee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d-church.ca/sites/default/files/resources/handbook_truste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ted-church.ca/sites/default/files/the-manual_2019.pdf" TargetMode="External"/><Relationship Id="rId4" Type="http://schemas.openxmlformats.org/officeDocument/2006/relationships/settings" Target="settings.xml"/><Relationship Id="rId9" Type="http://schemas.openxmlformats.org/officeDocument/2006/relationships/hyperlink" Target="ARW%20Property%20Policy.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79D6-E2CC-4EF9-B2CA-14F085D1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11</cp:revision>
  <dcterms:created xsi:type="dcterms:W3CDTF">2019-08-01T14:35:00Z</dcterms:created>
  <dcterms:modified xsi:type="dcterms:W3CDTF">2019-08-20T14:49:00Z</dcterms:modified>
</cp:coreProperties>
</file>